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7CCC" w:rsidRDefault="00B17CCC"/>
    <w:tbl>
      <w:tblPr>
        <w:tblpPr w:leftFromText="180" w:rightFromText="180" w:vertAnchor="page" w:horzAnchor="margin" w:tblpY="2113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37"/>
        <w:gridCol w:w="3592"/>
        <w:gridCol w:w="1491"/>
        <w:gridCol w:w="1970"/>
        <w:gridCol w:w="1684"/>
      </w:tblGrid>
      <w:tr w:rsidR="00B17CCC" w:rsidRPr="00EB492A" w:rsidTr="00C65F07">
        <w:trPr>
          <w:trHeight w:val="570"/>
        </w:trPr>
        <w:tc>
          <w:tcPr>
            <w:tcW w:w="5000" w:type="pct"/>
            <w:gridSpan w:val="5"/>
            <w:noWrap/>
          </w:tcPr>
          <w:p w:rsidR="00B17CCC" w:rsidRPr="003158E0" w:rsidRDefault="00B17CCC" w:rsidP="00C65F07">
            <w:pPr>
              <w:pStyle w:val="Title"/>
            </w:pPr>
            <w:r w:rsidRPr="003158E0">
              <w:t>2014</w:t>
            </w:r>
            <w:r>
              <w:rPr>
                <w:rFonts w:hint="eastAsia"/>
              </w:rPr>
              <w:t>年技能大赛“</w:t>
            </w:r>
            <w:r w:rsidRPr="003158E0">
              <w:rPr>
                <w:rFonts w:hint="eastAsia"/>
              </w:rPr>
              <w:t>报关技能</w:t>
            </w:r>
            <w:r>
              <w:rPr>
                <w:rFonts w:hint="eastAsia"/>
              </w:rPr>
              <w:t>”正式</w:t>
            </w:r>
            <w:r w:rsidRPr="003158E0">
              <w:rPr>
                <w:rFonts w:hint="eastAsia"/>
              </w:rPr>
              <w:t>赛题</w:t>
            </w:r>
            <w:r>
              <w:rPr>
                <w:rFonts w:hint="eastAsia"/>
              </w:rPr>
              <w:t>评分标准</w:t>
            </w:r>
          </w:p>
          <w:p w:rsidR="00B17CCC" w:rsidRPr="00EB492A" w:rsidRDefault="00B17CCC" w:rsidP="00C65F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B17CCC" w:rsidRPr="00EB492A" w:rsidTr="00C65F07">
        <w:trPr>
          <w:trHeight w:val="570"/>
        </w:trPr>
        <w:tc>
          <w:tcPr>
            <w:tcW w:w="1918" w:type="pct"/>
            <w:noWrap/>
          </w:tcPr>
          <w:p w:rsidR="00B17CCC" w:rsidRPr="00EB492A" w:rsidRDefault="00B17CCC" w:rsidP="00C65F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客观题题目内容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题目选项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选项得分规则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选项得分明细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强行通过扣分</w:t>
            </w:r>
          </w:p>
        </w:tc>
      </w:tr>
      <w:tr w:rsidR="00B17CCC" w:rsidRPr="00EB492A" w:rsidTr="00C65F07">
        <w:trPr>
          <w:trHeight w:val="1020"/>
        </w:trPr>
        <w:tc>
          <w:tcPr>
            <w:tcW w:w="1918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根据所提供的背景材料，该企业的经济性质应为：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国有（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-3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），合作（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-3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），合资（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-3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），独资（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+3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），集体（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-3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），私营（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-3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），个体（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-3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），报关（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-3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），其他（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-3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全对才得分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独资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7CCC" w:rsidRPr="00EB492A" w:rsidTr="00C65F07">
        <w:trPr>
          <w:trHeight w:val="960"/>
        </w:trPr>
        <w:tc>
          <w:tcPr>
            <w:tcW w:w="1918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根据所提供的背景材料，该企业的海关管理类别应为：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AAA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-2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）、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AA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-2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）、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A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-2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）、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B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+2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）、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C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-2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）、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D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-2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）、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E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（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>-2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）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全对才得分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B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7CCC" w:rsidRPr="00EB492A" w:rsidTr="00C65F07">
        <w:trPr>
          <w:trHeight w:val="1050"/>
        </w:trPr>
        <w:tc>
          <w:tcPr>
            <w:tcW w:w="1918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根据所提供的背景材料，该企业已办理的海关备案手续是：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 xml:space="preserve">n 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经营范围电子账册的备案</w:t>
            </w:r>
            <w:r w:rsidRPr="00EB492A">
              <w:rPr>
                <w:rFonts w:ascii="宋体" w:cs="宋体"/>
                <w:b/>
                <w:color w:val="000000"/>
                <w:kern w:val="0"/>
                <w:sz w:val="22"/>
              </w:rPr>
              <w:br/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 xml:space="preserve">n 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便捷通关电子账册的备案</w:t>
            </w:r>
            <w:r w:rsidRPr="00EB492A">
              <w:rPr>
                <w:rFonts w:ascii="宋体" w:cs="宋体"/>
                <w:b/>
                <w:color w:val="000000"/>
                <w:kern w:val="0"/>
                <w:sz w:val="22"/>
              </w:rPr>
              <w:br/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 xml:space="preserve">n 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商品归并关系备案</w:t>
            </w:r>
            <w:r w:rsidRPr="00EB492A">
              <w:rPr>
                <w:rFonts w:ascii="宋体" w:cs="宋体"/>
                <w:b/>
                <w:color w:val="000000"/>
                <w:kern w:val="0"/>
                <w:sz w:val="22"/>
              </w:rPr>
              <w:br/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 xml:space="preserve">n 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加工贸易联网监管备案</w:t>
            </w:r>
            <w:r w:rsidRPr="00EB492A">
              <w:rPr>
                <w:rFonts w:ascii="宋体" w:cs="宋体"/>
                <w:b/>
                <w:color w:val="000000"/>
                <w:kern w:val="0"/>
                <w:sz w:val="22"/>
              </w:rPr>
              <w:br/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2"/>
              </w:rPr>
              <w:t xml:space="preserve">n 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加工贸易料件和成品备案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全对才得分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ABC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7CCC" w:rsidRPr="00EB492A" w:rsidTr="00C65F07">
        <w:trPr>
          <w:trHeight w:val="1020"/>
        </w:trPr>
        <w:tc>
          <w:tcPr>
            <w:tcW w:w="1918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根据所提供的背景材料，合同中所含进口商品涉及的贸易管制许可证件为：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进口许可证</w:t>
            </w:r>
            <w:r w:rsidRPr="00EB492A">
              <w:rPr>
                <w:rFonts w:ascii="宋体" w:cs="宋体"/>
                <w:b/>
                <w:color w:val="000000"/>
                <w:kern w:val="0"/>
                <w:sz w:val="22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两用物项和技术进口许可证</w:t>
            </w:r>
            <w:r w:rsidRPr="00EB492A">
              <w:rPr>
                <w:rFonts w:ascii="宋体" w:cs="宋体"/>
                <w:b/>
                <w:color w:val="000000"/>
                <w:kern w:val="0"/>
                <w:sz w:val="22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自动进口许可证</w:t>
            </w:r>
            <w:r w:rsidRPr="00EB492A">
              <w:rPr>
                <w:rFonts w:ascii="宋体" w:cs="宋体"/>
                <w:b/>
                <w:color w:val="000000"/>
                <w:kern w:val="0"/>
                <w:sz w:val="22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限制进口类可用作原料的固体废物进口许可证</w:t>
            </w:r>
            <w:r w:rsidRPr="00EB492A">
              <w:rPr>
                <w:rFonts w:ascii="宋体" w:cs="宋体"/>
                <w:b/>
                <w:color w:val="000000"/>
                <w:kern w:val="0"/>
                <w:sz w:val="22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自动许可进口类可用作原料的固体废物进口许可证</w:t>
            </w:r>
            <w:r w:rsidRPr="00EB492A">
              <w:rPr>
                <w:rFonts w:ascii="宋体" w:cs="宋体"/>
                <w:b/>
                <w:color w:val="000000"/>
                <w:kern w:val="0"/>
                <w:sz w:val="22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加工贸易项下光盘进出口批准证</w:t>
            </w:r>
            <w:r w:rsidRPr="00EB492A">
              <w:rPr>
                <w:rFonts w:ascii="宋体" w:cs="宋体"/>
                <w:b/>
                <w:color w:val="000000"/>
                <w:kern w:val="0"/>
                <w:sz w:val="22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密码进口许可证</w:t>
            </w:r>
            <w:r w:rsidRPr="00EB492A">
              <w:rPr>
                <w:rFonts w:ascii="宋体" w:cs="宋体"/>
                <w:b/>
                <w:color w:val="000000"/>
                <w:kern w:val="0"/>
                <w:sz w:val="22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民用爆炸物品进口审批单</w:t>
            </w:r>
            <w:r w:rsidRPr="00EB492A">
              <w:rPr>
                <w:rFonts w:ascii="宋体" w:cs="宋体"/>
                <w:b/>
                <w:color w:val="000000"/>
                <w:kern w:val="0"/>
                <w:sz w:val="22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技术进口许可证</w:t>
            </w:r>
            <w:r w:rsidRPr="00EB492A">
              <w:rPr>
                <w:rFonts w:ascii="宋体" w:cs="宋体"/>
                <w:b/>
                <w:color w:val="000000"/>
                <w:kern w:val="0"/>
                <w:sz w:val="22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技术进口合同登记证</w:t>
            </w:r>
            <w:r w:rsidRPr="00EB492A">
              <w:rPr>
                <w:rFonts w:ascii="宋体" w:cs="宋体"/>
                <w:b/>
                <w:color w:val="000000"/>
                <w:kern w:val="0"/>
                <w:sz w:val="22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援外物资批准文件</w:t>
            </w:r>
            <w:r w:rsidRPr="00EB492A">
              <w:rPr>
                <w:rFonts w:ascii="宋体" w:cs="宋体"/>
                <w:b/>
                <w:color w:val="000000"/>
                <w:kern w:val="0"/>
                <w:sz w:val="22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美术品进出口批准文件</w:t>
            </w:r>
            <w:r w:rsidRPr="00EB492A">
              <w:rPr>
                <w:rFonts w:ascii="宋体" w:cs="宋体"/>
                <w:b/>
                <w:color w:val="000000"/>
                <w:kern w:val="0"/>
                <w:sz w:val="22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以上均不需要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全对才得分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不需要许可证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7CCC" w:rsidRPr="00EB492A" w:rsidTr="00C65F07">
        <w:trPr>
          <w:trHeight w:val="1410"/>
        </w:trPr>
        <w:tc>
          <w:tcPr>
            <w:tcW w:w="1918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根据所提供的背景材料，还应当进行下列哪一项分析：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2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查询是否属于法定检验商品，如果不是，则无需提供入境货物通关单</w:t>
            </w:r>
            <w:r w:rsidRPr="00EB492A">
              <w:rPr>
                <w:rFonts w:ascii="宋体" w:cs="宋体"/>
                <w:b/>
                <w:color w:val="000000"/>
                <w:kern w:val="0"/>
                <w:sz w:val="22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2"/>
              </w:rPr>
              <w:t>查询货物外包装状况，如果不是木质包装，则无需提供入境货物通关单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全对才得分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AB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7CCC" w:rsidRPr="00EB492A" w:rsidTr="00C65F07">
        <w:trPr>
          <w:trHeight w:val="675"/>
        </w:trPr>
        <w:tc>
          <w:tcPr>
            <w:tcW w:w="1918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根据你所进行的通关信息分析，请选择该票货物的最优海关通关制度：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一般进出口，暂准进出境，加工贸易，特定减免税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多选不得分少选得分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一般进口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加工贸易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7CCC" w:rsidRPr="00EB492A" w:rsidTr="00C65F07">
        <w:trPr>
          <w:trHeight w:val="1275"/>
        </w:trPr>
        <w:tc>
          <w:tcPr>
            <w:tcW w:w="1918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集成电路：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8542.3100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；焊丝：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8311.2000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；继电器：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8536.4110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7CCC" w:rsidRPr="00EB492A" w:rsidTr="00C65F07">
        <w:trPr>
          <w:trHeight w:val="2205"/>
        </w:trPr>
        <w:tc>
          <w:tcPr>
            <w:tcW w:w="1918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根据所提供的案例背景材料，该商品的货运风险如何划分：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、买方无需承担美国运至中国途中的货运风险。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、买方必须承担从美国到中国的全程货运风险。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、卖方必须承当美国到中国的全程货运风险。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、卖方无需承担从美国运至中国途中的货运风险。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、卖方需承担美国国内运输的货运风险。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6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、买方需承担美国国内运输的货运风险。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多选扣分少选得分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卖方无需承担从美国运至中国途中的货运风险；卖方需承担美国国内运输的货运风险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7CCC" w:rsidRPr="00EB492A" w:rsidTr="00C65F07">
        <w:trPr>
          <w:trHeight w:val="915"/>
        </w:trPr>
        <w:tc>
          <w:tcPr>
            <w:tcW w:w="1918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根据所提供的案例背景材料，该商品从日本运往中国国际段的运费和保费由谁承担：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、卖方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2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、承运人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3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、买方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4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、货运代理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5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、存放进口监管货物的仓库责任人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6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、报关代理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全对才得分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卖方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7CCC" w:rsidRPr="00EB492A" w:rsidTr="00C65F07">
        <w:trPr>
          <w:trHeight w:val="319"/>
        </w:trPr>
        <w:tc>
          <w:tcPr>
            <w:tcW w:w="1918" w:type="pct"/>
            <w:noWrap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请指出本票货物代理报关委托书中的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处填写错误：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7CCC" w:rsidRPr="00EB492A" w:rsidTr="00C65F07">
        <w:trPr>
          <w:trHeight w:val="1350"/>
        </w:trPr>
        <w:tc>
          <w:tcPr>
            <w:tcW w:w="1918" w:type="pct"/>
            <w:noWrap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请选择委托企业需提供的报关单证：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发票，装箱单，合同，提单，入境货物报检单，报检委托书，自动进口许可证，报关委托书，进口许可证，银行保证金台账登记通知单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全对才得分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发票，装箱单，合同，提单，入境货物报检单；报检委托书，报关委托书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7CCC" w:rsidRPr="00EB492A" w:rsidTr="00C65F07">
        <w:trPr>
          <w:trHeight w:val="319"/>
        </w:trPr>
        <w:tc>
          <w:tcPr>
            <w:tcW w:w="1918" w:type="pct"/>
            <w:noWrap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7CCC" w:rsidRPr="00EB492A" w:rsidTr="00C65F07">
        <w:trPr>
          <w:trHeight w:val="2415"/>
        </w:trPr>
        <w:tc>
          <w:tcPr>
            <w:tcW w:w="1918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根据通关工作方案设计，需帮助委托企业申请建立电子账册，下列哪些文件是申请建立电子账册时需提交给海关的：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加工贸易经营范围批准证书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加工贸易业务批准证书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加工贸易企业经营状况和生产能力证明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加工贸易企业联网监管申请表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海关实施加工贸易联网监管通知书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联网监管企业加工贸易业务批准证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经营范围电子账册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便捷通关电子账册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多选不得分少选得分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加工贸易经营范围批准证书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加工贸易企业经营状况和生产能力证明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3.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加工贸易企业联网监管申请表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     4.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联网监管企业加工贸易业务批准证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7CCC" w:rsidRPr="00EB492A" w:rsidTr="00C65F07">
        <w:trPr>
          <w:trHeight w:val="990"/>
        </w:trPr>
        <w:tc>
          <w:tcPr>
            <w:tcW w:w="1918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评分标准：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提交联网监管企业加工贸易业务批准证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裁判给予电子账册编号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电子账册编号，只要给出加工贸易业务批准证即可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裁判事先打印好正确电子账册编号，扫描后发放</w:t>
            </w:r>
          </w:p>
        </w:tc>
      </w:tr>
      <w:tr w:rsidR="00B17CCC" w:rsidRPr="00EB492A" w:rsidTr="00C65F07">
        <w:trPr>
          <w:trHeight w:val="810"/>
        </w:trPr>
        <w:tc>
          <w:tcPr>
            <w:tcW w:w="1918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评分标准：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提交提货单复印件；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裁判给予错误提货单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裁判事先打印好错误提货单，扫描后发放</w:t>
            </w:r>
          </w:p>
        </w:tc>
      </w:tr>
      <w:tr w:rsidR="00B17CCC" w:rsidRPr="00EB492A" w:rsidTr="00C65F07">
        <w:trPr>
          <w:trHeight w:val="810"/>
        </w:trPr>
        <w:tc>
          <w:tcPr>
            <w:tcW w:w="1918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评分标准：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提交错误提货单；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裁判给予正确提货单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裁判事先打印好正确提货单，扫描后发放</w:t>
            </w:r>
          </w:p>
        </w:tc>
      </w:tr>
      <w:tr w:rsidR="00B17CCC" w:rsidRPr="00EB492A" w:rsidTr="00C65F07">
        <w:trPr>
          <w:trHeight w:val="915"/>
        </w:trPr>
        <w:tc>
          <w:tcPr>
            <w:tcW w:w="1918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评分标准：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提交证明联打印清单；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裁判给予核销联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裁判事先打印好核销联报关单，扫描后发放</w:t>
            </w:r>
          </w:p>
        </w:tc>
      </w:tr>
      <w:tr w:rsidR="00B17CCC" w:rsidRPr="00EB492A" w:rsidTr="00C65F07">
        <w:trPr>
          <w:trHeight w:val="1935"/>
        </w:trPr>
        <w:tc>
          <w:tcPr>
            <w:tcW w:w="1918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下列哪些内容是需要以电子报文的形式发送给海关申请报核的：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报关单号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2.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进出口岸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3.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扣减方式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4.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进出标志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5.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本期保税料件的应当留存数量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6.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本期保税料件的实际留存数量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全对才得分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报关单号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2.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进出口岸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3.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扣减方式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4.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进出标志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5.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本期保税料件的应当留存数量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6.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本期保税料件的实际留存数量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7CCC" w:rsidRPr="00EB492A" w:rsidTr="00C65F07">
        <w:trPr>
          <w:trHeight w:val="960"/>
        </w:trPr>
        <w:tc>
          <w:tcPr>
            <w:tcW w:w="1918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成品出口之后，若进口报关单与出口报关单上料件不平衡，有多余的保税物料，则可以有下列哪几种处理情况：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余料征税；余料结转；余料销毁；余料转为减免税货物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全对才得分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余料征税；余料结转；余料销毁；余料转为减免税货物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7CCC" w:rsidRPr="00EB492A" w:rsidTr="00C65F07">
        <w:trPr>
          <w:trHeight w:val="2190"/>
        </w:trPr>
        <w:tc>
          <w:tcPr>
            <w:tcW w:w="1918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请报关经理填写电子报关代理业发票与报关费用明细：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空白发票填空：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金额；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费用明细；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委托书号；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付款单位名称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必须填制金额；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费用明细不要求服务费、代垫费用；必须含有自编金额即可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3.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委托书号；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4.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付款单位名称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7CCC" w:rsidRPr="00EB492A" w:rsidTr="00C65F07">
        <w:trPr>
          <w:trHeight w:val="780"/>
        </w:trPr>
        <w:tc>
          <w:tcPr>
            <w:tcW w:w="1918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发票和全套单据交客户（委托企业窗口）</w:t>
            </w:r>
            <w:r w:rsidRPr="00EB492A"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br/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裁判给象征性支票（金额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XXXX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7CCC" w:rsidRPr="00EB492A" w:rsidTr="00C65F07">
        <w:trPr>
          <w:trHeight w:val="720"/>
        </w:trPr>
        <w:tc>
          <w:tcPr>
            <w:tcW w:w="1918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1.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留存单据由报关企业裁判收取，裁判刷单证条形码，系统记录所交接的单证并计分；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报关单；提货单；提单；代理报关委托书；商业发票；装箱单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7CCC" w:rsidRPr="00EB492A" w:rsidTr="00C65F07">
        <w:trPr>
          <w:trHeight w:val="1005"/>
        </w:trPr>
        <w:tc>
          <w:tcPr>
            <w:tcW w:w="1918" w:type="pct"/>
            <w:noWrap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根据所提供的案例背景，该批料件的流向属于：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内销货物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          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加工返销货物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                 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转为减免税货物</w:t>
            </w:r>
            <w:r w:rsidRPr="00EB492A"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 xml:space="preserve">                                                  </w:t>
            </w: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深加工结转货物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多选扣分少选得分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内销货物；加工返销货物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B17CCC" w:rsidRPr="00EB492A" w:rsidTr="00C65F07">
        <w:trPr>
          <w:trHeight w:val="2280"/>
        </w:trPr>
        <w:tc>
          <w:tcPr>
            <w:tcW w:w="1918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根据所提供的案例背景，该批货物进口涉及哪些费用计入到买方的贸易成本中：</w:t>
            </w:r>
          </w:p>
        </w:tc>
        <w:tc>
          <w:tcPr>
            <w:tcW w:w="1267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日本到中国的国际段运保费；进口货物的货值；运入中国境内的运费；日本境内的报关港杂费；中国境内的报关港杂费；中国境内的仓储费；日本境内的海关查验代理费；中国境内的海关查验代理费</w:t>
            </w:r>
          </w:p>
        </w:tc>
        <w:tc>
          <w:tcPr>
            <w:tcW w:w="526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多选不得分少选得分</w:t>
            </w:r>
          </w:p>
        </w:tc>
        <w:tc>
          <w:tcPr>
            <w:tcW w:w="695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进口货物的货值；运入中国境内的运费；中国境内的报关港杂费；中国境内的仓储费；中国境内的海关查验代理费</w:t>
            </w:r>
          </w:p>
        </w:tc>
        <w:tc>
          <w:tcPr>
            <w:tcW w:w="594" w:type="pct"/>
          </w:tcPr>
          <w:p w:rsidR="00B17CCC" w:rsidRPr="00EB492A" w:rsidRDefault="00B17CCC" w:rsidP="00C65F07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 w:rsidRPr="00EB492A"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</w:tbl>
    <w:p w:rsidR="00B17CCC" w:rsidRPr="00E6771B" w:rsidRDefault="00B17CCC"/>
    <w:sectPr w:rsidR="00B17CCC" w:rsidRPr="00E6771B" w:rsidSect="00E6771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7CCC" w:rsidRDefault="00B17CCC" w:rsidP="003E7D1A">
      <w:r>
        <w:separator/>
      </w:r>
    </w:p>
  </w:endnote>
  <w:endnote w:type="continuationSeparator" w:id="0">
    <w:p w:rsidR="00B17CCC" w:rsidRDefault="00B17CCC" w:rsidP="003E7D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7CCC" w:rsidRDefault="00B17CCC" w:rsidP="003E7D1A">
      <w:r>
        <w:separator/>
      </w:r>
    </w:p>
  </w:footnote>
  <w:footnote w:type="continuationSeparator" w:id="0">
    <w:p w:rsidR="00B17CCC" w:rsidRDefault="00B17CCC" w:rsidP="003E7D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6771B"/>
    <w:rsid w:val="002E63D9"/>
    <w:rsid w:val="003140D7"/>
    <w:rsid w:val="003158E0"/>
    <w:rsid w:val="00344622"/>
    <w:rsid w:val="003E7D1A"/>
    <w:rsid w:val="00441C7D"/>
    <w:rsid w:val="004A15DF"/>
    <w:rsid w:val="00577B5B"/>
    <w:rsid w:val="0058099F"/>
    <w:rsid w:val="008A14D8"/>
    <w:rsid w:val="00AA150E"/>
    <w:rsid w:val="00B17CCC"/>
    <w:rsid w:val="00C42018"/>
    <w:rsid w:val="00C65F07"/>
    <w:rsid w:val="00D01E6F"/>
    <w:rsid w:val="00DB0580"/>
    <w:rsid w:val="00E152E2"/>
    <w:rsid w:val="00E6771B"/>
    <w:rsid w:val="00EB492A"/>
    <w:rsid w:val="00F37D15"/>
    <w:rsid w:val="00FA10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1C7D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6771B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3E7D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3E7D1A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3E7D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3E7D1A"/>
    <w:rPr>
      <w:rFonts w:cs="Times New Roman"/>
      <w:sz w:val="18"/>
      <w:szCs w:val="18"/>
    </w:rPr>
  </w:style>
  <w:style w:type="paragraph" w:styleId="Title">
    <w:name w:val="Title"/>
    <w:basedOn w:val="Normal"/>
    <w:next w:val="Normal"/>
    <w:link w:val="TitleChar"/>
    <w:uiPriority w:val="99"/>
    <w:qFormat/>
    <w:locked/>
    <w:rsid w:val="00C65F0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C65F07"/>
    <w:rPr>
      <w:rFonts w:ascii="Cambria" w:eastAsia="宋体" w:hAnsi="Cambria" w:cs="Times New Roman"/>
      <w:b/>
      <w:bCs/>
      <w:kern w:val="2"/>
      <w:sz w:val="32"/>
      <w:szCs w:val="32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1285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5</Pages>
  <Words>404</Words>
  <Characters>2305</Characters>
  <Application>Microsoft Office Outlook</Application>
  <DocSecurity>0</DocSecurity>
  <Lines>0</Lines>
  <Paragraphs>0</Paragraphs>
  <ScaleCrop>false</ScaleCrop>
  <Company>Lenovo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客观题题目内容</dc:title>
  <dc:subject/>
  <dc:creator>xc</dc:creator>
  <cp:keywords/>
  <dc:description/>
  <cp:lastModifiedBy>马元兴</cp:lastModifiedBy>
  <cp:revision>3</cp:revision>
  <dcterms:created xsi:type="dcterms:W3CDTF">2015-04-14T09:10:00Z</dcterms:created>
  <dcterms:modified xsi:type="dcterms:W3CDTF">2015-04-15T01:07:00Z</dcterms:modified>
</cp:coreProperties>
</file>