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40" w:lineRule="exact"/>
        <w:jc w:val="center"/>
        <w:rPr>
          <w:rFonts w:ascii="黑体" w:hAnsi="黑体" w:eastAsia="黑体"/>
          <w:b/>
          <w:sz w:val="36"/>
          <w:szCs w:val="36"/>
        </w:rPr>
      </w:pPr>
    </w:p>
    <w:p>
      <w:pPr>
        <w:widowControl w:val="0"/>
        <w:wordWrap/>
        <w:adjustRightInd/>
        <w:snapToGrid w:val="0"/>
        <w:spacing w:line="560" w:lineRule="exact"/>
        <w:ind w:left="0" w:leftChars="0" w:right="0" w:firstLine="0" w:firstLineChars="0"/>
        <w:jc w:val="center"/>
        <w:textAlignment w:val="auto"/>
        <w:outlineLvl w:val="9"/>
        <w:rPr>
          <w:rFonts w:ascii="黑体" w:hAnsi="黑体" w:eastAsia="黑体"/>
          <w:b/>
          <w:sz w:val="36"/>
          <w:szCs w:val="36"/>
        </w:rPr>
      </w:pPr>
      <w:r>
        <w:rPr>
          <w:rFonts w:ascii="黑体" w:hAnsi="黑体" w:eastAsia="黑体"/>
          <w:b/>
          <w:sz w:val="36"/>
          <w:szCs w:val="36"/>
        </w:rPr>
        <w:t>201</w:t>
      </w:r>
      <w:r>
        <w:rPr>
          <w:rFonts w:hint="eastAsia" w:ascii="黑体" w:hAnsi="黑体" w:eastAsia="黑体"/>
          <w:b/>
          <w:sz w:val="36"/>
          <w:szCs w:val="36"/>
        </w:rPr>
        <w:t>5年全国职业院校技能大赛</w:t>
      </w:r>
      <w:r>
        <w:rPr>
          <w:rFonts w:hint="eastAsia" w:ascii="黑体" w:hAnsi="黑体" w:eastAsia="黑体"/>
          <w:b/>
          <w:sz w:val="36"/>
          <w:szCs w:val="36"/>
          <w:lang w:eastAsia="zh-CN"/>
        </w:rPr>
        <w:t>高职组</w:t>
      </w:r>
    </w:p>
    <w:p>
      <w:pPr>
        <w:widowControl w:val="0"/>
        <w:wordWrap/>
        <w:adjustRightInd/>
        <w:snapToGrid w:val="0"/>
        <w:spacing w:line="560" w:lineRule="exact"/>
        <w:ind w:left="0" w:leftChars="0" w:right="0" w:firstLine="0" w:firstLineChars="0"/>
        <w:jc w:val="center"/>
        <w:textAlignment w:val="auto"/>
        <w:outlineLvl w:val="9"/>
        <w:rPr>
          <w:rFonts w:ascii="黑体" w:hAnsi="黑体" w:eastAsia="黑体"/>
          <w:b/>
          <w:sz w:val="36"/>
          <w:szCs w:val="36"/>
        </w:rPr>
      </w:pPr>
      <w:r>
        <w:rPr>
          <w:rFonts w:hint="default" w:ascii="黑体" w:hAnsi="黑体" w:eastAsia="黑体"/>
          <w:b/>
          <w:sz w:val="36"/>
          <w:szCs w:val="36"/>
          <w:lang w:val="en-US" w:eastAsia="zh-CN"/>
        </w:rPr>
        <w:t>“</w:t>
      </w:r>
      <w:r>
        <w:rPr>
          <w:rFonts w:hint="eastAsia" w:ascii="黑体" w:hAnsi="黑体" w:eastAsia="黑体"/>
          <w:b/>
          <w:sz w:val="36"/>
          <w:szCs w:val="36"/>
        </w:rPr>
        <w:t>4G全网建设技术</w:t>
      </w:r>
      <w:r>
        <w:rPr>
          <w:rFonts w:hint="default" w:ascii="黑体" w:hAnsi="黑体" w:eastAsia="黑体"/>
          <w:b/>
          <w:sz w:val="36"/>
          <w:szCs w:val="36"/>
          <w:lang w:val="en-US" w:eastAsia="zh-CN"/>
        </w:rPr>
        <w:t>”</w:t>
      </w:r>
      <w:r>
        <w:rPr>
          <w:rFonts w:hint="eastAsia" w:ascii="黑体" w:hAnsi="黑体" w:eastAsia="黑体"/>
          <w:b/>
          <w:sz w:val="36"/>
          <w:szCs w:val="36"/>
        </w:rPr>
        <w:t>赛项规程</w:t>
      </w:r>
    </w:p>
    <w:p>
      <w:pPr>
        <w:snapToGrid w:val="0"/>
        <w:spacing w:line="560" w:lineRule="exact"/>
        <w:ind w:firstLine="723" w:firstLineChars="200"/>
        <w:jc w:val="left"/>
        <w:outlineLvl w:val="0"/>
        <w:rPr>
          <w:rFonts w:ascii="仿宋_GB2312" w:hAnsi="宋体" w:eastAsia="仿宋_GB2312" w:cs="Arial"/>
          <w:b/>
          <w:kern w:val="0"/>
          <w:sz w:val="36"/>
          <w:szCs w:val="36"/>
        </w:rPr>
      </w:pPr>
    </w:p>
    <w:p>
      <w:pPr>
        <w:widowControl w:val="0"/>
        <w:wordWrap/>
        <w:adjustRightInd/>
        <w:snapToGrid w:val="0"/>
        <w:spacing w:line="560" w:lineRule="exact"/>
        <w:ind w:left="0" w:leftChars="0" w:right="0" w:firstLine="551" w:firstLineChars="196"/>
        <w:jc w:val="both"/>
        <w:textAlignment w:val="auto"/>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一、赛项名称</w:t>
      </w:r>
    </w:p>
    <w:p>
      <w:pPr>
        <w:pStyle w:val="49"/>
        <w:widowControl w:val="0"/>
        <w:wordWrap/>
        <w:adjustRightInd/>
        <w:snapToGrid w:val="0"/>
        <w:spacing w:line="560" w:lineRule="exact"/>
        <w:ind w:left="0" w:leftChars="0" w:right="0"/>
        <w:jc w:val="both"/>
        <w:textAlignment w:val="auto"/>
        <w:rPr>
          <w:rFonts w:hint="eastAsia"/>
        </w:rPr>
      </w:pPr>
      <w:r>
        <w:rPr>
          <w:rFonts w:hint="eastAsia"/>
        </w:rPr>
        <w:t>赛项编号：XG-152</w:t>
      </w:r>
    </w:p>
    <w:p>
      <w:pPr>
        <w:pStyle w:val="49"/>
        <w:widowControl w:val="0"/>
        <w:wordWrap/>
        <w:adjustRightInd/>
        <w:snapToGrid w:val="0"/>
        <w:spacing w:line="560" w:lineRule="exact"/>
        <w:ind w:left="0" w:leftChars="0" w:right="0"/>
        <w:jc w:val="both"/>
        <w:textAlignment w:val="auto"/>
        <w:rPr>
          <w:rFonts w:hint="eastAsia"/>
        </w:rPr>
      </w:pPr>
      <w:r>
        <w:rPr>
          <w:rFonts w:hint="eastAsia"/>
        </w:rPr>
        <w:t>赛项名称：4G全网建设技术</w:t>
      </w:r>
    </w:p>
    <w:p>
      <w:pPr>
        <w:pStyle w:val="49"/>
        <w:widowControl w:val="0"/>
        <w:wordWrap/>
        <w:adjustRightInd/>
        <w:snapToGrid w:val="0"/>
        <w:spacing w:line="560" w:lineRule="exact"/>
        <w:ind w:left="0" w:leftChars="0" w:right="0"/>
        <w:jc w:val="both"/>
        <w:textAlignment w:val="auto"/>
        <w:rPr>
          <w:rFonts w:hint="eastAsia"/>
        </w:rPr>
      </w:pPr>
      <w:r>
        <w:rPr>
          <w:rFonts w:hint="eastAsia"/>
        </w:rPr>
        <w:t>英语翻译：4G Network Construction Technology</w:t>
      </w:r>
    </w:p>
    <w:p>
      <w:pPr>
        <w:pStyle w:val="49"/>
        <w:widowControl w:val="0"/>
        <w:wordWrap/>
        <w:adjustRightInd/>
        <w:snapToGrid w:val="0"/>
        <w:spacing w:line="560" w:lineRule="exact"/>
        <w:ind w:left="0" w:leftChars="0" w:right="0"/>
        <w:jc w:val="both"/>
        <w:textAlignment w:val="auto"/>
        <w:rPr>
          <w:rFonts w:hint="eastAsia"/>
        </w:rPr>
      </w:pPr>
      <w:r>
        <w:rPr>
          <w:rFonts w:hint="eastAsia"/>
        </w:rPr>
        <w:t>赛项组别：高职组</w:t>
      </w:r>
    </w:p>
    <w:p>
      <w:pPr>
        <w:pStyle w:val="49"/>
        <w:widowControl w:val="0"/>
        <w:wordWrap/>
        <w:adjustRightInd/>
        <w:snapToGrid w:val="0"/>
        <w:spacing w:line="560" w:lineRule="exact"/>
        <w:ind w:left="0" w:leftChars="0" w:right="0"/>
        <w:jc w:val="both"/>
        <w:textAlignment w:val="auto"/>
        <w:rPr>
          <w:rFonts w:hint="eastAsia"/>
        </w:rPr>
      </w:pPr>
      <w:r>
        <w:rPr>
          <w:rFonts w:hint="eastAsia"/>
        </w:rPr>
        <w:t>赛项归属产业：电子信息</w:t>
      </w:r>
    </w:p>
    <w:p>
      <w:pPr>
        <w:widowControl w:val="0"/>
        <w:wordWrap/>
        <w:adjustRightInd/>
        <w:snapToGrid w:val="0"/>
        <w:spacing w:line="560" w:lineRule="exact"/>
        <w:ind w:left="0" w:leftChars="0" w:right="0" w:firstLine="551" w:firstLineChars="196"/>
        <w:jc w:val="both"/>
        <w:textAlignment w:val="auto"/>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二、竞赛目的</w:t>
      </w:r>
    </w:p>
    <w:p>
      <w:pPr>
        <w:pStyle w:val="49"/>
        <w:widowControl w:val="0"/>
        <w:wordWrap/>
        <w:adjustRightInd/>
        <w:snapToGrid w:val="0"/>
        <w:spacing w:line="560" w:lineRule="exact"/>
        <w:ind w:left="0" w:leftChars="0" w:right="0" w:firstLine="420" w:firstLineChars="150"/>
        <w:jc w:val="both"/>
        <w:textAlignment w:val="auto"/>
        <w:rPr>
          <w:rFonts w:hint="eastAsia"/>
        </w:rPr>
      </w:pPr>
      <w:r>
        <w:rPr>
          <w:rFonts w:hint="eastAsia"/>
        </w:rPr>
        <w:t>“4G全网建设技术”赛项紧密结合我国移动通信产业发展规划及现代通信技术的发展方向，顺应信息通信（ICT）技术快速发展的趋势，引入LTE无线接入网、EPC核心网以及承载网的典型应用场景，通过竞赛充分考察选手的4G全网规划、设备部署与联调、业务对接测试和故障处理等相关技能，展示职业道德与团队协作精神。同时吸引通信运营商、设备制造商及通信产业链上下游相关厂商积极参与，促进高职相应专业学生实训实习与就业，深化校企合作并提升高职教育社会认可度。</w:t>
      </w:r>
    </w:p>
    <w:p>
      <w:pPr>
        <w:widowControl w:val="0"/>
        <w:wordWrap/>
        <w:adjustRightInd/>
        <w:snapToGrid w:val="0"/>
        <w:spacing w:line="560" w:lineRule="exact"/>
        <w:ind w:left="0" w:leftChars="0" w:right="0" w:firstLine="551" w:firstLineChars="196"/>
        <w:jc w:val="both"/>
        <w:textAlignment w:val="auto"/>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三、竞赛内容</w:t>
      </w:r>
    </w:p>
    <w:p>
      <w:pPr>
        <w:pStyle w:val="49"/>
        <w:widowControl w:val="0"/>
        <w:wordWrap/>
        <w:adjustRightInd/>
        <w:snapToGrid w:val="0"/>
        <w:spacing w:line="560" w:lineRule="exact"/>
        <w:ind w:left="0" w:leftChars="0" w:right="0"/>
        <w:jc w:val="both"/>
        <w:textAlignment w:val="auto"/>
        <w:rPr>
          <w:rFonts w:hint="eastAsia"/>
        </w:rPr>
      </w:pPr>
      <w:r>
        <w:rPr>
          <w:rFonts w:hint="eastAsia"/>
        </w:rPr>
        <w:t>（一）竞赛内容</w:t>
      </w:r>
    </w:p>
    <w:p>
      <w:pPr>
        <w:pStyle w:val="49"/>
        <w:widowControl w:val="0"/>
        <w:wordWrap/>
        <w:adjustRightInd/>
        <w:snapToGrid w:val="0"/>
        <w:spacing w:line="560" w:lineRule="exact"/>
        <w:ind w:left="0" w:leftChars="0" w:right="0"/>
        <w:jc w:val="both"/>
        <w:textAlignment w:val="auto"/>
        <w:rPr>
          <w:rFonts w:hint="eastAsia"/>
        </w:rPr>
      </w:pPr>
      <w:r>
        <w:rPr>
          <w:rFonts w:hint="eastAsia"/>
        </w:rPr>
        <w:t>竞赛内容包括理论考试、4G网络配置与优化及4G网络故障排除三部分：</w:t>
      </w:r>
    </w:p>
    <w:p>
      <w:pPr>
        <w:pStyle w:val="49"/>
        <w:widowControl w:val="0"/>
        <w:wordWrap/>
        <w:adjustRightInd/>
        <w:snapToGrid w:val="0"/>
        <w:spacing w:line="560" w:lineRule="exact"/>
        <w:ind w:left="0" w:leftChars="0" w:right="0"/>
        <w:jc w:val="both"/>
        <w:textAlignment w:val="auto"/>
        <w:rPr>
          <w:rFonts w:hint="eastAsia"/>
        </w:rPr>
      </w:pPr>
      <w:r>
        <w:rPr>
          <w:rFonts w:hint="eastAsia"/>
        </w:rPr>
        <w:t>1. 理论考试</w:t>
      </w:r>
    </w:p>
    <w:p>
      <w:pPr>
        <w:pStyle w:val="49"/>
        <w:widowControl w:val="0"/>
        <w:wordWrap/>
        <w:adjustRightInd/>
        <w:snapToGrid w:val="0"/>
        <w:spacing w:line="560" w:lineRule="exact"/>
        <w:ind w:left="0" w:leftChars="0" w:right="0"/>
        <w:jc w:val="both"/>
        <w:textAlignment w:val="auto"/>
        <w:rPr>
          <w:rFonts w:hint="eastAsia"/>
        </w:rPr>
      </w:pPr>
      <w:r>
        <w:rPr>
          <w:rFonts w:hint="eastAsia"/>
        </w:rPr>
        <w:t>理论考试主要知识点及范围：</w:t>
      </w:r>
    </w:p>
    <w:p>
      <w:pPr>
        <w:pStyle w:val="49"/>
        <w:widowControl w:val="0"/>
        <w:wordWrap/>
        <w:adjustRightInd/>
        <w:snapToGrid w:val="0"/>
        <w:spacing w:line="560" w:lineRule="exact"/>
        <w:ind w:left="0" w:leftChars="0" w:right="0"/>
        <w:jc w:val="both"/>
        <w:textAlignment w:val="auto"/>
        <w:rPr>
          <w:rFonts w:hint="eastAsia"/>
        </w:rPr>
      </w:pPr>
      <w:r>
        <w:rPr>
          <w:rFonts w:hint="eastAsia"/>
        </w:rPr>
        <w:t>（1）移动通信基础知识：移动通信的基本概念和原理等。</w:t>
      </w:r>
    </w:p>
    <w:p>
      <w:pPr>
        <w:pStyle w:val="49"/>
        <w:widowControl w:val="0"/>
        <w:wordWrap/>
        <w:adjustRightInd/>
        <w:snapToGrid w:val="0"/>
        <w:spacing w:line="560" w:lineRule="exact"/>
        <w:ind w:left="0" w:leftChars="0" w:right="0"/>
        <w:jc w:val="both"/>
        <w:textAlignment w:val="auto"/>
        <w:rPr>
          <w:rFonts w:hint="eastAsia"/>
        </w:rPr>
      </w:pPr>
      <w:r>
        <w:rPr>
          <w:rFonts w:hint="eastAsia"/>
        </w:rPr>
        <w:t>（2）4G LTE/EPC基本原理与协议规范：4G LTE/EPC基本原理、关键技术、接口规范及协议标准等。</w:t>
      </w:r>
    </w:p>
    <w:p>
      <w:pPr>
        <w:pStyle w:val="49"/>
        <w:widowControl w:val="0"/>
        <w:wordWrap/>
        <w:adjustRightInd/>
        <w:snapToGrid w:val="0"/>
        <w:spacing w:line="560" w:lineRule="exact"/>
        <w:ind w:left="0" w:leftChars="0" w:right="0"/>
        <w:jc w:val="both"/>
        <w:textAlignment w:val="auto"/>
        <w:rPr>
          <w:rFonts w:hint="eastAsia"/>
        </w:rPr>
      </w:pPr>
      <w:r>
        <w:rPr>
          <w:rFonts w:hint="eastAsia"/>
        </w:rPr>
        <w:t>（3）4G全网设备：4G无线接入设备（eNodeB）、4G核心网设备（MME、SGW、PGW及HSS）以及承载网设备（PTN、路由器、OTN）的网络拓扑规划、容量规划、硬件配置及连线、设备的开通维护及故障排查、工程规范等。</w:t>
      </w:r>
    </w:p>
    <w:p>
      <w:pPr>
        <w:pStyle w:val="49"/>
        <w:widowControl w:val="0"/>
        <w:wordWrap/>
        <w:adjustRightInd/>
        <w:snapToGrid w:val="0"/>
        <w:spacing w:line="560" w:lineRule="exact"/>
        <w:ind w:left="0" w:leftChars="0" w:right="0"/>
        <w:jc w:val="both"/>
        <w:textAlignment w:val="auto"/>
        <w:rPr>
          <w:rFonts w:hint="eastAsia"/>
        </w:rPr>
      </w:pPr>
      <w:r>
        <w:rPr>
          <w:rFonts w:hint="eastAsia"/>
        </w:rPr>
        <w:t>2. 4G网络配置与优化：包括无线接入网、核心网及承载网三部分。根据给定的题设和要求，对网络数据进行容量计算、设备部署及数据配置完善，最终实现4G业务的开通。</w:t>
      </w:r>
    </w:p>
    <w:p>
      <w:pPr>
        <w:pStyle w:val="49"/>
        <w:widowControl w:val="0"/>
        <w:wordWrap/>
        <w:adjustRightInd/>
        <w:snapToGrid w:val="0"/>
        <w:spacing w:line="560" w:lineRule="exact"/>
        <w:ind w:left="0" w:leftChars="0" w:right="0"/>
        <w:jc w:val="both"/>
        <w:textAlignment w:val="auto"/>
        <w:rPr>
          <w:rFonts w:hint="eastAsia"/>
        </w:rPr>
      </w:pPr>
      <w:r>
        <w:rPr>
          <w:rFonts w:hint="eastAsia"/>
        </w:rPr>
        <w:t>3. 4G网络故障排除：包括无线接入网、核心网及承载网三部分。比赛时软件内预置若干配置错误，要求参赛选手逐一排查并更正。</w:t>
      </w:r>
    </w:p>
    <w:p>
      <w:pPr>
        <w:pStyle w:val="49"/>
        <w:widowControl w:val="0"/>
        <w:wordWrap/>
        <w:adjustRightInd/>
        <w:snapToGrid w:val="0"/>
        <w:spacing w:line="560" w:lineRule="exact"/>
        <w:ind w:left="0" w:leftChars="0" w:right="0"/>
        <w:jc w:val="both"/>
        <w:textAlignment w:val="auto"/>
        <w:rPr>
          <w:rFonts w:hint="eastAsia"/>
        </w:rPr>
      </w:pPr>
      <w:r>
        <w:rPr>
          <w:rFonts w:hint="eastAsia"/>
        </w:rPr>
        <w:t>（二）竞赛时间</w:t>
      </w:r>
    </w:p>
    <w:p>
      <w:pPr>
        <w:pStyle w:val="49"/>
        <w:widowControl w:val="0"/>
        <w:wordWrap/>
        <w:adjustRightInd/>
        <w:snapToGrid w:val="0"/>
        <w:spacing w:line="560" w:lineRule="exact"/>
        <w:ind w:left="0" w:leftChars="0" w:right="0"/>
        <w:jc w:val="both"/>
        <w:textAlignment w:val="auto"/>
        <w:rPr>
          <w:rFonts w:hint="eastAsia"/>
        </w:rPr>
      </w:pPr>
      <w:r>
        <w:rPr>
          <w:rFonts w:hint="eastAsia"/>
        </w:rPr>
        <w:t>比赛时间为8:30-12:30，共计240分钟，期间不再根据竞赛内容划分阶段。各参赛队伍须在规定时间内独立完成比赛任务。</w:t>
      </w:r>
    </w:p>
    <w:p>
      <w:pPr>
        <w:widowControl w:val="0"/>
        <w:wordWrap/>
        <w:adjustRightInd/>
        <w:snapToGrid w:val="0"/>
        <w:spacing w:line="560" w:lineRule="exact"/>
        <w:ind w:left="0" w:leftChars="0" w:right="0" w:firstLine="551" w:firstLineChars="196"/>
        <w:jc w:val="both"/>
        <w:textAlignment w:val="auto"/>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四、竞赛方式</w:t>
      </w:r>
    </w:p>
    <w:p>
      <w:pPr>
        <w:pStyle w:val="49"/>
        <w:widowControl w:val="0"/>
        <w:wordWrap/>
        <w:adjustRightInd/>
        <w:snapToGrid w:val="0"/>
        <w:spacing w:line="560" w:lineRule="exact"/>
        <w:ind w:left="0" w:leftChars="0" w:right="0"/>
        <w:jc w:val="both"/>
        <w:textAlignment w:val="auto"/>
        <w:rPr>
          <w:rFonts w:hint="eastAsia"/>
        </w:rPr>
      </w:pPr>
      <w:r>
        <w:rPr>
          <w:rFonts w:hint="eastAsia"/>
        </w:rPr>
        <w:t>（一）竞赛以团队方式进行，不计选手个人成绩，统计参赛队的总成绩进行排序。</w:t>
      </w:r>
    </w:p>
    <w:p>
      <w:pPr>
        <w:pStyle w:val="49"/>
        <w:widowControl w:val="0"/>
        <w:wordWrap/>
        <w:adjustRightInd/>
        <w:snapToGrid w:val="0"/>
        <w:spacing w:line="560" w:lineRule="exact"/>
        <w:ind w:left="0" w:leftChars="0" w:right="0"/>
        <w:jc w:val="both"/>
        <w:textAlignment w:val="auto"/>
        <w:rPr>
          <w:rFonts w:hint="eastAsia"/>
        </w:rPr>
      </w:pPr>
      <w:r>
        <w:rPr>
          <w:rFonts w:hint="eastAsia"/>
        </w:rPr>
        <w:t>（二）参赛队伍组成</w:t>
      </w:r>
    </w:p>
    <w:p>
      <w:pPr>
        <w:pStyle w:val="49"/>
        <w:widowControl w:val="0"/>
        <w:wordWrap/>
        <w:adjustRightInd/>
        <w:snapToGrid w:val="0"/>
        <w:spacing w:line="560" w:lineRule="exact"/>
        <w:ind w:left="0" w:leftChars="0" w:right="0"/>
        <w:jc w:val="both"/>
        <w:textAlignment w:val="auto"/>
        <w:rPr>
          <w:rStyle w:val="67"/>
          <w:rFonts w:hint="eastAsia"/>
          <w:sz w:val="28"/>
          <w:szCs w:val="28"/>
        </w:rPr>
      </w:pPr>
      <w:r>
        <w:rPr>
          <w:rStyle w:val="67"/>
          <w:rFonts w:hint="eastAsia"/>
          <w:sz w:val="28"/>
          <w:szCs w:val="28"/>
        </w:rPr>
        <w:t>每支参赛队由2名比赛选手组成，2名选手须为同校在籍学生，其中队长1名，性别及年级不限。每队可配2名指导教师。</w:t>
      </w:r>
    </w:p>
    <w:p>
      <w:pPr>
        <w:pStyle w:val="49"/>
        <w:widowControl w:val="0"/>
        <w:wordWrap/>
        <w:adjustRightInd/>
        <w:snapToGrid w:val="0"/>
        <w:spacing w:line="560" w:lineRule="exact"/>
        <w:ind w:left="0" w:leftChars="0" w:right="0"/>
        <w:jc w:val="both"/>
        <w:textAlignment w:val="auto"/>
        <w:rPr>
          <w:rFonts w:hint="eastAsia"/>
        </w:rPr>
      </w:pPr>
      <w:r>
        <w:rPr>
          <w:rFonts w:hint="eastAsia"/>
        </w:rPr>
        <w:t>（三）竞赛方式</w:t>
      </w:r>
    </w:p>
    <w:p>
      <w:pPr>
        <w:pStyle w:val="49"/>
        <w:widowControl w:val="0"/>
        <w:wordWrap/>
        <w:adjustRightInd/>
        <w:snapToGrid w:val="0"/>
        <w:spacing w:line="560" w:lineRule="exact"/>
        <w:ind w:left="0" w:leftChars="0" w:right="0"/>
        <w:jc w:val="both"/>
        <w:textAlignment w:val="auto"/>
        <w:rPr>
          <w:rFonts w:hint="eastAsia"/>
          <w:color w:val="000000"/>
        </w:rPr>
      </w:pPr>
      <w:r>
        <w:rPr>
          <w:rFonts w:hint="eastAsia"/>
          <w:color w:val="000000"/>
        </w:rPr>
        <w:t>试题及任务书一次性下发，比赛结束后统一提交所有比赛结果。竞赛内容如下：</w:t>
      </w:r>
    </w:p>
    <w:p>
      <w:pPr>
        <w:pStyle w:val="49"/>
        <w:widowControl w:val="0"/>
        <w:wordWrap/>
        <w:adjustRightInd/>
        <w:snapToGrid w:val="0"/>
        <w:spacing w:line="560" w:lineRule="exact"/>
        <w:ind w:left="0" w:leftChars="0" w:right="0"/>
        <w:jc w:val="both"/>
        <w:textAlignment w:val="auto"/>
        <w:rPr>
          <w:rFonts w:hint="eastAsia"/>
        </w:rPr>
      </w:pPr>
      <w:r>
        <w:rPr>
          <w:rFonts w:hint="eastAsia"/>
        </w:rPr>
        <w:t>1. 理论考试</w:t>
      </w:r>
    </w:p>
    <w:p>
      <w:pPr>
        <w:pStyle w:val="49"/>
        <w:widowControl w:val="0"/>
        <w:wordWrap/>
        <w:adjustRightInd/>
        <w:snapToGrid w:val="0"/>
        <w:spacing w:line="560" w:lineRule="exact"/>
        <w:ind w:left="0" w:leftChars="0" w:right="0"/>
        <w:jc w:val="both"/>
        <w:textAlignment w:val="auto"/>
        <w:rPr>
          <w:rFonts w:hint="eastAsia"/>
        </w:rPr>
      </w:pPr>
      <w:r>
        <w:rPr>
          <w:rFonts w:hint="eastAsia"/>
          <w:color w:val="000000"/>
        </w:rPr>
        <w:t>理论考试采用纸质试卷与答题纸方式，每队两份，其中一份包含LTE无线接入网和EPC核心网考试内容，另一份包含承载网考试内容，参赛队伍的2名选手自行分工，</w:t>
      </w:r>
      <w:r>
        <w:rPr>
          <w:rFonts w:hint="eastAsia"/>
        </w:rPr>
        <w:t>并按要求在答题纸上填写答案。</w:t>
      </w:r>
    </w:p>
    <w:p>
      <w:pPr>
        <w:pStyle w:val="49"/>
        <w:widowControl w:val="0"/>
        <w:wordWrap/>
        <w:adjustRightInd/>
        <w:snapToGrid w:val="0"/>
        <w:spacing w:line="560" w:lineRule="exact"/>
        <w:ind w:left="0" w:leftChars="0" w:right="0"/>
        <w:jc w:val="both"/>
        <w:textAlignment w:val="auto"/>
        <w:rPr>
          <w:rFonts w:hint="eastAsia"/>
        </w:rPr>
      </w:pPr>
      <w:r>
        <w:rPr>
          <w:rFonts w:hint="eastAsia"/>
        </w:rPr>
        <w:t>2. 4G网络配置与优化</w:t>
      </w:r>
    </w:p>
    <w:p>
      <w:pPr>
        <w:pStyle w:val="49"/>
        <w:widowControl w:val="0"/>
        <w:wordWrap/>
        <w:adjustRightInd/>
        <w:snapToGrid w:val="0"/>
        <w:spacing w:line="560" w:lineRule="exact"/>
        <w:ind w:left="0" w:leftChars="0" w:right="0"/>
        <w:jc w:val="both"/>
        <w:textAlignment w:val="auto"/>
        <w:rPr>
          <w:rFonts w:hint="eastAsia"/>
        </w:rPr>
      </w:pPr>
      <w:r>
        <w:rPr>
          <w:rFonts w:hint="eastAsia"/>
        </w:rPr>
        <w:t>两名参赛选手分别操作一台电脑，根据任务书要求，协同完成无线接入网、核心网及承载网部分的容量计算、设备部署及数据配置完善（完成状态将实时显示），并按要求在答题纸上填写答案。</w:t>
      </w:r>
    </w:p>
    <w:p>
      <w:pPr>
        <w:pStyle w:val="49"/>
        <w:widowControl w:val="0"/>
        <w:wordWrap/>
        <w:adjustRightInd/>
        <w:snapToGrid w:val="0"/>
        <w:spacing w:line="560" w:lineRule="exact"/>
        <w:ind w:left="0" w:leftChars="0" w:right="0"/>
        <w:jc w:val="both"/>
        <w:textAlignment w:val="auto"/>
        <w:rPr>
          <w:rFonts w:hint="eastAsia"/>
        </w:rPr>
      </w:pPr>
      <w:r>
        <w:rPr>
          <w:rFonts w:hint="eastAsia"/>
        </w:rPr>
        <w:t>3. 4G网络故障排除</w:t>
      </w:r>
    </w:p>
    <w:p>
      <w:pPr>
        <w:pStyle w:val="49"/>
        <w:widowControl w:val="0"/>
        <w:wordWrap/>
        <w:adjustRightInd/>
        <w:snapToGrid w:val="0"/>
        <w:spacing w:line="560" w:lineRule="exact"/>
        <w:ind w:left="0" w:leftChars="0" w:right="0"/>
        <w:jc w:val="both"/>
        <w:textAlignment w:val="auto"/>
        <w:rPr>
          <w:rFonts w:hint="eastAsia"/>
        </w:rPr>
      </w:pPr>
      <w:r>
        <w:rPr>
          <w:rFonts w:hint="eastAsia"/>
        </w:rPr>
        <w:t>两名参赛选手分别操作一台电脑，基于已经导入故障数据的4G LTE全网竞技系统软件，根据任务书描述，结合故障现象，分析故障原因，协同完成无线接入网、核心网及承载网部分的故障排除工作（完成状态将实时显示），并按要求在答题纸上填写答案。</w:t>
      </w:r>
    </w:p>
    <w:p>
      <w:pPr>
        <w:pStyle w:val="49"/>
        <w:widowControl w:val="0"/>
        <w:wordWrap/>
        <w:adjustRightInd/>
        <w:snapToGrid w:val="0"/>
        <w:spacing w:line="560" w:lineRule="exact"/>
        <w:ind w:left="0" w:leftChars="0" w:right="0"/>
        <w:jc w:val="both"/>
        <w:textAlignment w:val="auto"/>
        <w:rPr>
          <w:rFonts w:hint="eastAsia"/>
        </w:rPr>
      </w:pPr>
      <w:r>
        <w:rPr>
          <w:rFonts w:hint="eastAsia"/>
        </w:rPr>
        <w:t>（四）2015年本赛事不邀请国际团队参赛，欢迎其到场观赛，具体观赛组织方式另行通知。</w:t>
      </w:r>
    </w:p>
    <w:p>
      <w:pPr>
        <w:widowControl w:val="0"/>
        <w:wordWrap/>
        <w:adjustRightInd/>
        <w:snapToGrid w:val="0"/>
        <w:spacing w:line="560" w:lineRule="exact"/>
        <w:ind w:left="0" w:leftChars="0" w:right="0" w:firstLine="551" w:firstLineChars="196"/>
        <w:jc w:val="both"/>
        <w:textAlignment w:val="auto"/>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五、竞赛流程</w:t>
      </w:r>
    </w:p>
    <w:p>
      <w:pPr>
        <w:pStyle w:val="49"/>
        <w:widowControl w:val="0"/>
        <w:wordWrap/>
        <w:adjustRightInd/>
        <w:snapToGrid w:val="0"/>
        <w:spacing w:line="560" w:lineRule="exact"/>
        <w:ind w:left="0" w:leftChars="0" w:right="0"/>
        <w:jc w:val="both"/>
        <w:textAlignment w:val="auto"/>
        <w:rPr>
          <w:rFonts w:hint="eastAsia"/>
        </w:rPr>
      </w:pPr>
      <w:r>
        <w:rPr>
          <w:rFonts w:hint="eastAsia"/>
        </w:rPr>
        <w:t>具体的竞赛日期，由全国职业院校技能大赛执委会及赛区执委会统一规定，以下所列为竞赛当天的日程安排。</w:t>
      </w:r>
    </w:p>
    <w:p>
      <w:pPr>
        <w:pStyle w:val="49"/>
        <w:spacing w:line="560" w:lineRule="exact"/>
        <w:rPr>
          <w:rFonts w:hint="eastAsia"/>
        </w:rPr>
      </w:pPr>
    </w:p>
    <w:p>
      <w:pPr>
        <w:spacing w:line="560" w:lineRule="exact"/>
        <w:ind w:firstLine="482" w:firstLineChars="200"/>
        <w:jc w:val="center"/>
        <w:rPr>
          <w:rFonts w:hint="eastAsia" w:ascii="仿宋_GB2312" w:hAnsi="仿宋" w:eastAsia="仿宋_GB2312" w:cs="宋体"/>
          <w:b/>
          <w:bCs/>
          <w:kern w:val="0"/>
          <w:sz w:val="24"/>
          <w:szCs w:val="24"/>
        </w:rPr>
      </w:pPr>
      <w:r>
        <w:rPr>
          <w:rFonts w:hint="eastAsia" w:ascii="仿宋_GB2312" w:hAnsi="仿宋" w:eastAsia="仿宋_GB2312" w:cs="宋体"/>
          <w:b/>
          <w:bCs/>
          <w:kern w:val="0"/>
          <w:sz w:val="24"/>
          <w:szCs w:val="24"/>
        </w:rPr>
        <w:t>表1 竞赛日程安排</w:t>
      </w:r>
    </w:p>
    <w:tbl>
      <w:tblPr>
        <w:tblStyle w:val="21"/>
        <w:tblW w:w="54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628"/>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 w:hRule="atLeast"/>
          <w:jc w:val="center"/>
        </w:trPr>
        <w:tc>
          <w:tcPr>
            <w:tcW w:w="1628" w:type="dxa"/>
            <w:tcBorders>
              <w:top w:val="single" w:color="auto" w:sz="8" w:space="0"/>
              <w:left w:val="single" w:color="auto" w:sz="4" w:space="0"/>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textAlignment w:val="auto"/>
              <w:outlineLvl w:val="9"/>
              <w:rPr>
                <w:rFonts w:hint="eastAsia" w:ascii="仿宋_GB2312" w:eastAsia="仿宋_GB2312"/>
                <w:b/>
                <w:sz w:val="24"/>
                <w:szCs w:val="24"/>
              </w:rPr>
            </w:pPr>
            <w:r>
              <w:rPr>
                <w:rFonts w:hint="eastAsia" w:ascii="仿宋_GB2312" w:eastAsia="仿宋_GB2312"/>
                <w:b/>
                <w:sz w:val="24"/>
                <w:szCs w:val="24"/>
              </w:rPr>
              <w:t>时间</w:t>
            </w:r>
          </w:p>
        </w:tc>
        <w:tc>
          <w:tcPr>
            <w:tcW w:w="3827" w:type="dxa"/>
            <w:tcBorders>
              <w:top w:val="single" w:color="auto" w:sz="8" w:space="0"/>
              <w:left w:val="nil"/>
              <w:bottom w:val="single" w:color="auto" w:sz="8" w:space="0"/>
              <w:right w:val="single" w:color="000000" w:sz="8" w:space="0"/>
            </w:tcBorders>
            <w:vAlign w:val="center"/>
          </w:tcPr>
          <w:p>
            <w:pPr>
              <w:pStyle w:val="45"/>
              <w:widowControl w:val="0"/>
              <w:wordWrap/>
              <w:adjustRightInd/>
              <w:snapToGrid/>
              <w:spacing w:line="240" w:lineRule="auto"/>
              <w:ind w:left="0" w:leftChars="0" w:right="0" w:firstLine="0" w:firstLineChars="0"/>
              <w:textAlignment w:val="auto"/>
              <w:outlineLvl w:val="9"/>
              <w:rPr>
                <w:rFonts w:hint="eastAsia" w:ascii="仿宋_GB2312" w:eastAsia="仿宋_GB2312"/>
                <w:b/>
                <w:sz w:val="24"/>
                <w:szCs w:val="24"/>
              </w:rPr>
            </w:pPr>
            <w:r>
              <w:rPr>
                <w:rFonts w:hint="eastAsia" w:ascii="仿宋_GB2312" w:eastAsia="仿宋_GB2312"/>
                <w:b/>
                <w:sz w:val="24"/>
                <w:szCs w:val="24"/>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3" w:hRule="atLeast"/>
          <w:jc w:val="center"/>
        </w:trPr>
        <w:tc>
          <w:tcPr>
            <w:tcW w:w="1628" w:type="dxa"/>
            <w:tcBorders>
              <w:top w:val="nil"/>
              <w:left w:val="single" w:color="auto" w:sz="4" w:space="0"/>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7:30-7:50</w:t>
            </w:r>
          </w:p>
        </w:tc>
        <w:tc>
          <w:tcPr>
            <w:tcW w:w="3827" w:type="dxa"/>
            <w:tcBorders>
              <w:top w:val="nil"/>
              <w:left w:val="nil"/>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参赛选手检录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 w:hRule="atLeast"/>
          <w:jc w:val="center"/>
        </w:trPr>
        <w:tc>
          <w:tcPr>
            <w:tcW w:w="1628" w:type="dxa"/>
            <w:tcBorders>
              <w:top w:val="nil"/>
              <w:left w:val="single" w:color="auto" w:sz="4" w:space="0"/>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7:50-8:20</w:t>
            </w:r>
          </w:p>
        </w:tc>
        <w:tc>
          <w:tcPr>
            <w:tcW w:w="3827" w:type="dxa"/>
            <w:tcBorders>
              <w:top w:val="nil"/>
              <w:left w:val="nil"/>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参赛选手抽签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 w:hRule="atLeast"/>
          <w:jc w:val="center"/>
        </w:trPr>
        <w:tc>
          <w:tcPr>
            <w:tcW w:w="1628" w:type="dxa"/>
            <w:tcBorders>
              <w:top w:val="nil"/>
              <w:left w:val="single" w:color="auto" w:sz="4" w:space="0"/>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8:20-8:30</w:t>
            </w:r>
          </w:p>
        </w:tc>
        <w:tc>
          <w:tcPr>
            <w:tcW w:w="3827" w:type="dxa"/>
            <w:tcBorders>
              <w:top w:val="nil"/>
              <w:left w:val="nil"/>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参赛队就位并领取比赛任务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 w:hRule="atLeast"/>
          <w:jc w:val="center"/>
        </w:trPr>
        <w:tc>
          <w:tcPr>
            <w:tcW w:w="1628" w:type="dxa"/>
            <w:tcBorders>
              <w:top w:val="nil"/>
              <w:left w:val="single" w:color="auto" w:sz="4" w:space="0"/>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8:30-12:30</w:t>
            </w:r>
          </w:p>
        </w:tc>
        <w:tc>
          <w:tcPr>
            <w:tcW w:w="3827" w:type="dxa"/>
            <w:tcBorders>
              <w:top w:val="nil"/>
              <w:left w:val="nil"/>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 w:hRule="atLeast"/>
          <w:jc w:val="center"/>
        </w:trPr>
        <w:tc>
          <w:tcPr>
            <w:tcW w:w="1628" w:type="dxa"/>
            <w:tcBorders>
              <w:top w:val="nil"/>
              <w:left w:val="single" w:color="auto" w:sz="4" w:space="0"/>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12:30-12:45</w:t>
            </w:r>
          </w:p>
        </w:tc>
        <w:tc>
          <w:tcPr>
            <w:tcW w:w="3827" w:type="dxa"/>
            <w:tcBorders>
              <w:top w:val="nil"/>
              <w:left w:val="nil"/>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参赛队离场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7" w:hRule="atLeast"/>
          <w:jc w:val="center"/>
        </w:trPr>
        <w:tc>
          <w:tcPr>
            <w:tcW w:w="1628" w:type="dxa"/>
            <w:tcBorders>
              <w:top w:val="nil"/>
              <w:left w:val="single" w:color="auto" w:sz="4" w:space="0"/>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12:45-</w:t>
            </w:r>
          </w:p>
        </w:tc>
        <w:tc>
          <w:tcPr>
            <w:tcW w:w="3827" w:type="dxa"/>
            <w:tcBorders>
              <w:top w:val="nil"/>
              <w:left w:val="nil"/>
              <w:bottom w:val="single" w:color="auto" w:sz="8" w:space="0"/>
              <w:right w:val="single" w:color="auto" w:sz="8" w:space="0"/>
            </w:tcBorders>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sz w:val="24"/>
                <w:szCs w:val="24"/>
              </w:rPr>
            </w:pPr>
            <w:r>
              <w:rPr>
                <w:rFonts w:hint="eastAsia" w:ascii="仿宋_GB2312" w:eastAsia="仿宋_GB2312"/>
                <w:sz w:val="24"/>
                <w:szCs w:val="24"/>
              </w:rPr>
              <w:t>裁判评分</w:t>
            </w:r>
          </w:p>
        </w:tc>
      </w:tr>
    </w:tbl>
    <w:p>
      <w:pPr>
        <w:snapToGrid w:val="0"/>
        <w:spacing w:line="560" w:lineRule="exact"/>
        <w:jc w:val="left"/>
        <w:outlineLvl w:val="0"/>
        <w:rPr>
          <w:rFonts w:hint="eastAsia" w:ascii="仿宋_GB2312" w:hAnsi="宋体" w:eastAsia="仿宋_GB2312" w:cs="Arial"/>
          <w:kern w:val="0"/>
          <w:sz w:val="28"/>
          <w:szCs w:val="28"/>
        </w:rPr>
      </w:pPr>
    </w:p>
    <w:p>
      <w:pPr>
        <w:widowControl/>
        <w:spacing w:line="560" w:lineRule="exact"/>
        <w:jc w:val="left"/>
        <w:rPr>
          <w:rFonts w:hint="eastAsia" w:ascii="仿宋_GB2312" w:hAnsi="宋体" w:eastAsia="仿宋_GB2312" w:cs="Arial"/>
          <w:kern w:val="0"/>
          <w:sz w:val="28"/>
          <w:szCs w:val="28"/>
        </w:rPr>
      </w:pPr>
      <w:r>
        <w:rPr>
          <w:rFonts w:hint="eastAsia" w:ascii="仿宋_GB2312" w:hAnsi="宋体" w:eastAsia="仿宋_GB2312" w:cs="Arial"/>
          <w:kern w:val="0"/>
          <w:sz w:val="28"/>
          <w:szCs w:val="28"/>
        </w:rPr>
        <w:br w:type="page"/>
      </w:r>
    </w:p>
    <w:p>
      <w:pPr>
        <w:snapToGrid w:val="0"/>
        <w:spacing w:line="560" w:lineRule="exact"/>
        <w:jc w:val="left"/>
        <w:outlineLvl w:val="0"/>
        <w:rPr>
          <w:rFonts w:hint="eastAsia" w:ascii="仿宋_GB2312" w:hAnsi="宋体" w:eastAsia="仿宋_GB2312" w:cs="Arial"/>
          <w:kern w:val="0"/>
          <w:sz w:val="28"/>
          <w:szCs w:val="28"/>
        </w:rPr>
      </w:pPr>
      <w:r>
        <w:rPr>
          <w:rFonts w:hint="eastAsia" w:ascii="仿宋_GB2312" w:hAnsi="Calibri" w:eastAsia="仿宋_GB2312" w:cs="Times New Roman"/>
          <w:kern w:val="2"/>
          <w:sz w:val="28"/>
          <w:szCs w:val="28"/>
          <w:lang w:val="en-US" w:eastAsia="zh-CN" w:bidi="ar-SA"/>
        </w:rPr>
        <w:pict>
          <v:shape id="Picture 8" type="#_x0000_t75" style="position:absolute;left:0;margin-left:25.9pt;margin-top:25.3pt;height:612.2pt;width:333.05pt;rotation:0f;z-index:251658240;" o:ole="t" fillcolor="#FFFFFF" filled="f" o:preferrelative="t" stroked="f" coordorigin="0,0" coordsize="21600,21600">
            <v:fill on="f" color2="#FFFFFF" focus="0%"/>
            <v:imagedata gain="65536f" blacklevel="0f" gamma="0" o:title="" r:id="rId8"/>
            <o:lock v:ext="edit" position="f" selection="f" grouping="f" rotation="f" cropping="f" text="f" aspectratio="t"/>
          </v:shape>
          <o:OLEObject Type="Embed" ProgID="" ShapeID="Picture 8" DrawAspect="Content" ObjectID="_1" r:id="rId7"/>
        </w:pict>
      </w: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napToGrid w:val="0"/>
        <w:spacing w:line="560" w:lineRule="exact"/>
        <w:jc w:val="left"/>
        <w:outlineLvl w:val="0"/>
        <w:rPr>
          <w:rFonts w:hint="eastAsia" w:ascii="仿宋_GB2312" w:hAnsi="宋体" w:eastAsia="仿宋_GB2312" w:cs="Arial"/>
          <w:kern w:val="0"/>
          <w:sz w:val="28"/>
          <w:szCs w:val="28"/>
        </w:rPr>
      </w:pPr>
    </w:p>
    <w:p>
      <w:pPr>
        <w:spacing w:line="560" w:lineRule="exact"/>
        <w:ind w:firstLine="560" w:firstLineChars="200"/>
        <w:jc w:val="center"/>
        <w:rPr>
          <w:rFonts w:hint="eastAsia" w:ascii="仿宋_GB2312" w:hAnsi="仿宋" w:eastAsia="仿宋_GB2312" w:cs="宋体"/>
          <w:bCs/>
          <w:kern w:val="0"/>
          <w:sz w:val="28"/>
          <w:szCs w:val="28"/>
        </w:rPr>
      </w:pPr>
    </w:p>
    <w:p>
      <w:pPr>
        <w:spacing w:line="560" w:lineRule="exact"/>
        <w:ind w:firstLine="560" w:firstLineChars="200"/>
        <w:jc w:val="center"/>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图1 竞赛流程图</w:t>
      </w:r>
    </w:p>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六、竞赛试题</w:t>
      </w:r>
    </w:p>
    <w:p>
      <w:pPr>
        <w:pStyle w:val="49"/>
        <w:spacing w:line="560" w:lineRule="exact"/>
        <w:rPr>
          <w:rFonts w:hint="eastAsia"/>
        </w:rPr>
      </w:pPr>
      <w:r>
        <w:rPr>
          <w:rFonts w:hint="eastAsia"/>
        </w:rPr>
        <w:t>（一）本赛项的所有试题均为客观题，不设主观题。</w:t>
      </w:r>
    </w:p>
    <w:p>
      <w:pPr>
        <w:pStyle w:val="49"/>
        <w:spacing w:line="560" w:lineRule="exact"/>
        <w:rPr>
          <w:rFonts w:hint="eastAsia"/>
        </w:rPr>
      </w:pPr>
      <w:r>
        <w:rPr>
          <w:rFonts w:hint="eastAsia"/>
        </w:rPr>
        <w:t>（二）在赛前一个月通过全国职业院校技能大赛网络信息发布平台（</w:t>
      </w:r>
      <w:r>
        <w:fldChar w:fldCharType="begin"/>
      </w:r>
      <w:r>
        <w:instrText xml:space="preserve">HYPERLINK "http://www.chinaskills.org/" </w:instrText>
      </w:r>
      <w:r>
        <w:fldChar w:fldCharType="separate"/>
      </w:r>
      <w:r>
        <w:rPr>
          <w:rFonts w:hint="eastAsia"/>
        </w:rPr>
        <w:t>www.chinaskills.org</w:t>
      </w:r>
      <w:r>
        <w:fldChar w:fldCharType="end"/>
      </w:r>
      <w:r>
        <w:rPr>
          <w:rFonts w:hint="eastAsia"/>
        </w:rPr>
        <w:t>）公布样题。</w:t>
      </w:r>
    </w:p>
    <w:p>
      <w:pPr>
        <w:pStyle w:val="49"/>
        <w:spacing w:line="560" w:lineRule="exact"/>
        <w:rPr>
          <w:rFonts w:hint="eastAsia"/>
        </w:rPr>
      </w:pPr>
      <w:r>
        <w:rPr>
          <w:rFonts w:hint="eastAsia"/>
        </w:rPr>
        <w:t>（三）在赛前举行赛前说明会，对竞赛题型、结构、考点、评分、注意事项等进行说明和答疑。</w:t>
      </w:r>
    </w:p>
    <w:p>
      <w:pPr>
        <w:pStyle w:val="49"/>
        <w:spacing w:line="560" w:lineRule="exact"/>
        <w:rPr>
          <w:rFonts w:hint="eastAsia"/>
        </w:rPr>
      </w:pPr>
      <w:r>
        <w:rPr>
          <w:rFonts w:hint="eastAsia"/>
        </w:rPr>
        <w:t>（四）技能大赛的命题工作由赛项执委会指定的命题专家组负责。正式赛题属于非公开部分，将建立试题库，制定10套赛题，各套赛题重复率不超过50%。竞赛试卷于比赛前三天，经试题库随机排序后，在现场监督人员监督下由裁判长指定相关人员抽取。</w:t>
      </w:r>
    </w:p>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七、竞赛规则</w:t>
      </w:r>
    </w:p>
    <w:p>
      <w:pPr>
        <w:pStyle w:val="49"/>
        <w:spacing w:line="560" w:lineRule="exact"/>
        <w:rPr>
          <w:rFonts w:hint="eastAsia"/>
        </w:rPr>
      </w:pPr>
      <w:r>
        <w:rPr>
          <w:rFonts w:hint="eastAsia"/>
        </w:rPr>
        <w:t>（一）报名资格及参赛队伍要求</w:t>
      </w:r>
    </w:p>
    <w:p>
      <w:pPr>
        <w:pStyle w:val="49"/>
        <w:spacing w:line="560" w:lineRule="exact"/>
        <w:rPr>
          <w:rFonts w:hint="eastAsia"/>
        </w:rPr>
      </w:pPr>
      <w:r>
        <w:rPr>
          <w:rFonts w:hint="eastAsia"/>
        </w:rPr>
        <w:t>1. 报名资格</w:t>
      </w:r>
    </w:p>
    <w:p>
      <w:pPr>
        <w:pStyle w:val="49"/>
        <w:spacing w:line="560" w:lineRule="exact"/>
        <w:rPr>
          <w:rFonts w:hint="eastAsia"/>
        </w:rPr>
      </w:pPr>
      <w:r>
        <w:rPr>
          <w:rFonts w:hint="eastAsia"/>
        </w:rPr>
        <w:t>参赛选手须为高等学校全日制在籍学生、本科院校中高职类全日制在籍学生、或五年制高职四、五年级学生。参赛选手年龄须不超过25周岁（即1990年7月1日及以后出生）。各地区的省内参赛选拔、名额分配和参赛师生资格审查工作主要由省级教育行政部门负责。大赛执委会办公室有对参赛人员资格进行抽查的权利。</w:t>
      </w:r>
    </w:p>
    <w:p>
      <w:pPr>
        <w:pStyle w:val="49"/>
        <w:spacing w:line="560" w:lineRule="exact"/>
        <w:rPr>
          <w:rFonts w:hint="eastAsia"/>
        </w:rPr>
      </w:pPr>
      <w:r>
        <w:rPr>
          <w:rFonts w:hint="eastAsia"/>
        </w:rPr>
        <w:t>2. 组队要求</w:t>
      </w:r>
    </w:p>
    <w:p>
      <w:pPr>
        <w:pStyle w:val="49"/>
        <w:spacing w:line="560" w:lineRule="exact"/>
        <w:rPr>
          <w:rFonts w:hint="eastAsia"/>
        </w:rPr>
      </w:pPr>
      <w:r>
        <w:rPr>
          <w:rFonts w:hint="eastAsia"/>
        </w:rPr>
        <w:t>各省、自治区、直辖市组队参赛，不接受计划单列市、新疆生产建设兵团组队参赛。不得跨校组队，同一学校报名参赛队不超过1支。</w:t>
      </w:r>
    </w:p>
    <w:p>
      <w:pPr>
        <w:pStyle w:val="49"/>
        <w:spacing w:line="560" w:lineRule="exact"/>
        <w:rPr>
          <w:rFonts w:hint="eastAsia"/>
        </w:rPr>
      </w:pPr>
      <w:r>
        <w:rPr>
          <w:rFonts w:hint="eastAsia"/>
        </w:rPr>
        <w:t>3. 参赛名额</w:t>
      </w:r>
    </w:p>
    <w:p>
      <w:pPr>
        <w:pStyle w:val="49"/>
        <w:spacing w:line="560" w:lineRule="exact"/>
        <w:rPr>
          <w:rFonts w:hint="eastAsia"/>
        </w:rPr>
      </w:pPr>
      <w:r>
        <w:rPr>
          <w:rFonts w:hint="eastAsia"/>
        </w:rPr>
        <w:t>每省参赛队原则上不超过2支。鼓励各省组织省赛，组织有相应赛项省级选拔赛的省份，经大赛执行委员会审查备案，视赛项特点及承办单位实际承接能力，在条件许可的情况下相应赛项可增加1个参赛队。</w:t>
      </w:r>
    </w:p>
    <w:p>
      <w:pPr>
        <w:pStyle w:val="49"/>
        <w:spacing w:line="560" w:lineRule="exact"/>
        <w:rPr>
          <w:rFonts w:hint="eastAsia"/>
        </w:rPr>
      </w:pPr>
      <w:r>
        <w:rPr>
          <w:rFonts w:hint="eastAsia"/>
        </w:rPr>
        <w:t>4. 人员变更</w:t>
      </w:r>
    </w:p>
    <w:p>
      <w:pPr>
        <w:pStyle w:val="49"/>
        <w:spacing w:line="560" w:lineRule="exact"/>
        <w:rPr>
          <w:rFonts w:hint="eastAsia"/>
        </w:rPr>
      </w:pPr>
      <w:r>
        <w:rPr>
          <w:rFonts w:hint="eastAsia"/>
        </w:rPr>
        <w:t>参赛选手和指导教师报名获得确认后不得随意更换。如备赛过程中参赛选手和指导教师因故无法参赛，须由省级教育行政部门于相应赛项开赛10个工作日之前出具书面说明，经大赛执委会办公室核实后予以更换。参赛选手因特殊原因不能参加比赛时，由大赛执委会根据赛项的特点决定是否可进行缺员比赛。</w:t>
      </w:r>
    </w:p>
    <w:p>
      <w:pPr>
        <w:pStyle w:val="49"/>
        <w:spacing w:line="560" w:lineRule="exact"/>
        <w:rPr>
          <w:rFonts w:hint="eastAsia"/>
        </w:rPr>
      </w:pPr>
      <w:r>
        <w:rPr>
          <w:rFonts w:hint="eastAsia"/>
        </w:rPr>
        <w:t>（二）熟悉场地</w:t>
      </w:r>
    </w:p>
    <w:p>
      <w:pPr>
        <w:pStyle w:val="49"/>
        <w:spacing w:line="560" w:lineRule="exact"/>
        <w:rPr>
          <w:rFonts w:hint="eastAsia"/>
        </w:rPr>
      </w:pPr>
      <w:r>
        <w:rPr>
          <w:rFonts w:hint="eastAsia"/>
        </w:rPr>
        <w:t>1. 执委会安排各参赛队统一有序的熟悉场地，熟悉场地时限定在观摩区活动，不允许进入比赛区。</w:t>
      </w:r>
    </w:p>
    <w:p>
      <w:pPr>
        <w:pStyle w:val="49"/>
        <w:spacing w:line="560" w:lineRule="exact"/>
        <w:rPr>
          <w:rFonts w:hint="eastAsia"/>
        </w:rPr>
      </w:pPr>
      <w:r>
        <w:rPr>
          <w:rFonts w:hint="eastAsia"/>
        </w:rPr>
        <w:t>2. 熟悉场地时严禁与现场工作人员进行交流，不发表没有根据以及有损大赛整体形象的言论。</w:t>
      </w:r>
    </w:p>
    <w:p>
      <w:pPr>
        <w:pStyle w:val="49"/>
        <w:spacing w:line="560" w:lineRule="exact"/>
        <w:rPr>
          <w:rFonts w:hint="eastAsia"/>
        </w:rPr>
      </w:pPr>
      <w:r>
        <w:rPr>
          <w:rFonts w:hint="eastAsia"/>
        </w:rPr>
        <w:t>3. 熟悉场地时严格遵守大赛各种制度，严禁拥挤、喧哗，以免发生意外事故。</w:t>
      </w:r>
    </w:p>
    <w:p>
      <w:pPr>
        <w:pStyle w:val="49"/>
        <w:spacing w:line="560" w:lineRule="exact"/>
        <w:rPr>
          <w:rFonts w:hint="eastAsia"/>
        </w:rPr>
      </w:pPr>
      <w:r>
        <w:rPr>
          <w:rFonts w:hint="eastAsia"/>
        </w:rPr>
        <w:t>（三）赛场要求</w:t>
      </w:r>
    </w:p>
    <w:p>
      <w:pPr>
        <w:pStyle w:val="49"/>
        <w:spacing w:line="560" w:lineRule="exact"/>
        <w:rPr>
          <w:rFonts w:hint="eastAsia"/>
        </w:rPr>
      </w:pPr>
      <w:r>
        <w:rPr>
          <w:rFonts w:hint="eastAsia"/>
        </w:rPr>
        <w:t>1. 参赛选手应在比赛开始时间前1小时到达指定地点，接受检录入场，接受工作人员对选手身份、资格和有关证件的检查。竞赛计时开始后，选手未到，视为自动放弃。</w:t>
      </w:r>
    </w:p>
    <w:p>
      <w:pPr>
        <w:pStyle w:val="49"/>
        <w:spacing w:line="560" w:lineRule="exact"/>
        <w:rPr>
          <w:rFonts w:hint="eastAsia"/>
        </w:rPr>
      </w:pPr>
      <w:r>
        <w:rPr>
          <w:rFonts w:hint="eastAsia"/>
        </w:rPr>
        <w:t>2. 赛位由抽签确定，不得擅自变更、调整。</w:t>
      </w:r>
    </w:p>
    <w:p>
      <w:pPr>
        <w:pStyle w:val="49"/>
        <w:spacing w:line="560" w:lineRule="exact"/>
        <w:rPr>
          <w:rFonts w:hint="eastAsia"/>
        </w:rPr>
      </w:pPr>
      <w:r>
        <w:rPr>
          <w:rFonts w:hint="eastAsia"/>
        </w:rPr>
        <w:t>3、比赛使用的相关设备及软件由组委会提供，参赛队不得携带和使用自带设备及软件。</w:t>
      </w:r>
    </w:p>
    <w:p>
      <w:pPr>
        <w:pStyle w:val="49"/>
        <w:spacing w:line="560" w:lineRule="exact"/>
        <w:rPr>
          <w:rFonts w:hint="eastAsia"/>
        </w:rPr>
      </w:pPr>
      <w:r>
        <w:rPr>
          <w:rFonts w:hint="eastAsia"/>
        </w:rPr>
        <w:t>4. 参赛队员要求统一服装（组委会提供）进入比赛场地，自行决定选手分工、工作程序，利用现场提供的所有条件完成竞赛任务。</w:t>
      </w:r>
    </w:p>
    <w:p>
      <w:pPr>
        <w:pStyle w:val="49"/>
        <w:spacing w:line="560" w:lineRule="exact"/>
        <w:rPr>
          <w:rFonts w:hint="eastAsia"/>
        </w:rPr>
      </w:pPr>
      <w:r>
        <w:rPr>
          <w:rFonts w:hint="eastAsia"/>
        </w:rPr>
        <w:t>5. 竞赛过程中，食品和饮水由赛场统一提供，选手在竞赛过程中不得擅自离开赛场，如有特殊情况，须经裁判人员同意。选手休息、饮水、上洗手间等统一计在竞赛时间内。竞赛计时以赛场设置的时钟为准。</w:t>
      </w:r>
    </w:p>
    <w:p>
      <w:pPr>
        <w:pStyle w:val="49"/>
        <w:spacing w:line="560" w:lineRule="exact"/>
        <w:rPr>
          <w:rFonts w:hint="eastAsia"/>
        </w:rPr>
      </w:pPr>
      <w:r>
        <w:rPr>
          <w:rFonts w:hint="eastAsia"/>
        </w:rPr>
        <w:t>6. 使用文明用语，尊重裁判和其他选手。不得辱骂裁判和赛场工作人员，不得打架斗殴。</w:t>
      </w:r>
    </w:p>
    <w:p>
      <w:pPr>
        <w:pStyle w:val="49"/>
        <w:spacing w:line="560" w:lineRule="exact"/>
        <w:rPr>
          <w:rFonts w:hint="eastAsia"/>
        </w:rPr>
      </w:pPr>
      <w:r>
        <w:rPr>
          <w:rFonts w:hint="eastAsia"/>
        </w:rPr>
        <w:t>7. 参赛选手要严格遵守竞赛现场规则，如发现有冒名顶替等舞弊行为者，将取消竞赛资格。</w:t>
      </w:r>
    </w:p>
    <w:p>
      <w:pPr>
        <w:pStyle w:val="49"/>
        <w:spacing w:line="560" w:lineRule="exact"/>
        <w:rPr>
          <w:rFonts w:hint="eastAsia"/>
        </w:rPr>
      </w:pPr>
      <w:r>
        <w:rPr>
          <w:rFonts w:hint="eastAsia"/>
        </w:rPr>
        <w:t>8. 为保障公平、公正，竞赛现场实施网络安全管制，防止场内外信息交互。各参赛队不得将手机等通信工具带入竞赛场地，否则按作弊处理。</w:t>
      </w:r>
    </w:p>
    <w:p>
      <w:pPr>
        <w:pStyle w:val="49"/>
        <w:spacing w:line="560" w:lineRule="exact"/>
        <w:rPr>
          <w:rFonts w:hint="eastAsia"/>
        </w:rPr>
      </w:pPr>
      <w:r>
        <w:rPr>
          <w:rFonts w:hint="eastAsia"/>
        </w:rPr>
        <w:t>9. 任何人不得以任何方式暗示、指导、帮助、影响参赛选手。对造成后果的，视情节轻重酌情扣除参赛选手成绩。</w:t>
      </w:r>
    </w:p>
    <w:p>
      <w:pPr>
        <w:pStyle w:val="49"/>
        <w:spacing w:line="560" w:lineRule="exact"/>
        <w:rPr>
          <w:rFonts w:hint="eastAsia"/>
        </w:rPr>
      </w:pPr>
      <w:r>
        <w:rPr>
          <w:rFonts w:hint="eastAsia"/>
        </w:rPr>
        <w:t>10. 比赛过程中，除参赛选手、裁判员、现场工作人员和经批准的人员外，其他人员一律不得进入比赛现场。对不听劝阻、无理取闹者追究责任，并通报批评。</w:t>
      </w:r>
    </w:p>
    <w:p>
      <w:pPr>
        <w:pStyle w:val="49"/>
        <w:spacing w:line="560" w:lineRule="exact"/>
        <w:rPr>
          <w:rFonts w:hint="eastAsia"/>
        </w:rPr>
      </w:pPr>
      <w:r>
        <w:rPr>
          <w:rFonts w:hint="eastAsia"/>
        </w:rPr>
        <w:t>11. 遇突发情况应先举手示意，并与裁判人员协商，按裁判人员的意见办理。</w:t>
      </w:r>
    </w:p>
    <w:p>
      <w:pPr>
        <w:pStyle w:val="49"/>
        <w:spacing w:line="560" w:lineRule="exact"/>
        <w:rPr>
          <w:rFonts w:hint="eastAsia"/>
        </w:rPr>
      </w:pPr>
      <w:r>
        <w:rPr>
          <w:rFonts w:hint="eastAsia"/>
        </w:rPr>
        <w:t>12. 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w:t>
      </w:r>
    </w:p>
    <w:p>
      <w:pPr>
        <w:pStyle w:val="49"/>
        <w:spacing w:line="560" w:lineRule="exact"/>
        <w:rPr>
          <w:rFonts w:hint="eastAsia"/>
        </w:rPr>
      </w:pPr>
      <w:r>
        <w:rPr>
          <w:rFonts w:hint="eastAsia"/>
        </w:rPr>
        <w:t>13. 选手必须按照任务书及相关程序要求，提交竞赛结果与相关文档，严禁在竞赛结果上做任何与竞赛无关的标记，并配合裁判做好赛场情况记录，与裁判一起签字确认，裁判要求签名时不得拒绝。</w:t>
      </w:r>
    </w:p>
    <w:p>
      <w:pPr>
        <w:pStyle w:val="49"/>
        <w:spacing w:line="560" w:lineRule="exact"/>
        <w:rPr>
          <w:rFonts w:hint="eastAsia"/>
        </w:rPr>
      </w:pPr>
      <w:r>
        <w:rPr>
          <w:rFonts w:hint="eastAsia"/>
        </w:rPr>
        <w:t>14. 如对成绩评定与成绩公开过程有异议，不得对裁判等工作人员采取过激行为，应该按规定流程进行申诉。</w:t>
      </w:r>
    </w:p>
    <w:p>
      <w:pPr>
        <w:pStyle w:val="49"/>
        <w:spacing w:line="560" w:lineRule="exact"/>
        <w:rPr>
          <w:rFonts w:hint="eastAsia"/>
        </w:rPr>
      </w:pPr>
      <w:r>
        <w:rPr>
          <w:rFonts w:hint="eastAsia"/>
        </w:rPr>
        <w:t>15. 如参赛队欲提前结束竞赛，应举手向裁判员示意，按裁判及工作人员指示等候。比赛结束后，参赛队经裁判员同意后方可离开。</w:t>
      </w:r>
    </w:p>
    <w:p>
      <w:pPr>
        <w:pStyle w:val="49"/>
        <w:spacing w:line="560" w:lineRule="exact"/>
        <w:rPr>
          <w:rFonts w:hint="eastAsia"/>
        </w:rPr>
      </w:pPr>
      <w:r>
        <w:rPr>
          <w:rFonts w:hint="eastAsia"/>
        </w:rPr>
        <w:t>（四）成绩评定及公布</w:t>
      </w:r>
    </w:p>
    <w:p>
      <w:pPr>
        <w:pStyle w:val="49"/>
        <w:spacing w:line="560" w:lineRule="exact"/>
        <w:rPr>
          <w:rFonts w:hint="eastAsia"/>
        </w:rPr>
      </w:pPr>
      <w:r>
        <w:rPr>
          <w:rFonts w:hint="eastAsia"/>
        </w:rPr>
        <w:t>1. 比赛结束后由裁判组对各参赛队的竞赛任务逐项评分并进行成绩录入，经裁判长核准后上交执委会，具体评分详见评分标准和评分方式。</w:t>
      </w:r>
    </w:p>
    <w:p>
      <w:pPr>
        <w:pStyle w:val="49"/>
        <w:spacing w:line="560" w:lineRule="exact"/>
        <w:rPr>
          <w:rFonts w:hint="eastAsia"/>
        </w:rPr>
      </w:pPr>
      <w:r>
        <w:rPr>
          <w:rFonts w:hint="eastAsia"/>
        </w:rPr>
        <w:t>2. 所有有关专家和裁判严守大赛纪律，不得私自透露赛题非公开部分的内容和比赛结果。</w:t>
      </w:r>
    </w:p>
    <w:p>
      <w:pPr>
        <w:pStyle w:val="49"/>
        <w:spacing w:line="560" w:lineRule="exact"/>
        <w:rPr>
          <w:rFonts w:hint="eastAsia"/>
        </w:rPr>
      </w:pPr>
      <w:r>
        <w:rPr>
          <w:rFonts w:hint="eastAsia"/>
        </w:rPr>
        <w:t>3. 比赛成绩经工作人员统计，执委会、裁判组、仲裁组分别核准后，在大赛闭幕式上公布。</w:t>
      </w:r>
    </w:p>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八、竞赛环境</w:t>
      </w:r>
    </w:p>
    <w:p>
      <w:pPr>
        <w:pStyle w:val="49"/>
        <w:spacing w:line="560" w:lineRule="exact"/>
        <w:rPr>
          <w:rFonts w:hint="eastAsia"/>
        </w:rPr>
      </w:pPr>
      <w:r>
        <w:rPr>
          <w:rFonts w:hint="eastAsia"/>
        </w:rPr>
        <w:t>竞赛场地包括四个区域：参赛选手竞赛区域、展示平台区域、裁判区域以及后台监控中心区域。</w:t>
      </w:r>
    </w:p>
    <w:p>
      <w:pPr>
        <w:pStyle w:val="49"/>
        <w:spacing w:line="560" w:lineRule="exact"/>
        <w:rPr>
          <w:rFonts w:hint="eastAsia"/>
        </w:rPr>
      </w:pPr>
      <w:r>
        <w:rPr>
          <w:rFonts w:hint="eastAsia"/>
        </w:rPr>
        <w:t>1. 参赛选手竞赛区域</w:t>
      </w:r>
    </w:p>
    <w:p>
      <w:pPr>
        <w:pStyle w:val="49"/>
        <w:spacing w:line="560" w:lineRule="exact"/>
        <w:rPr>
          <w:rFonts w:hint="eastAsia"/>
        </w:rPr>
      </w:pPr>
      <w:r>
        <w:rPr>
          <w:rFonts w:hint="eastAsia"/>
        </w:rPr>
        <w:t>在指定赛场设置赛位，每个赛位提供2台电脑及相应软件供选手使用，赛位大小满足2人同时操作电脑的需求，竞赛区域电脑在比赛过程中将采用全程录屏，以备调用查询。具体软硬件需求标准由组委会统一制定。</w:t>
      </w:r>
    </w:p>
    <w:p>
      <w:pPr>
        <w:pStyle w:val="49"/>
        <w:spacing w:line="560" w:lineRule="exact"/>
        <w:rPr>
          <w:rFonts w:hint="eastAsia"/>
        </w:rPr>
      </w:pPr>
      <w:r>
        <w:rPr>
          <w:rFonts w:hint="eastAsia"/>
        </w:rPr>
        <w:t>2. 展示平台区域</w:t>
      </w:r>
    </w:p>
    <w:p>
      <w:pPr>
        <w:pStyle w:val="49"/>
        <w:spacing w:line="560" w:lineRule="exact"/>
        <w:rPr>
          <w:rFonts w:hint="eastAsia"/>
        </w:rPr>
      </w:pPr>
      <w:r>
        <w:rPr>
          <w:rFonts w:hint="eastAsia"/>
        </w:rPr>
        <w:t>与比赛场地分开的隔离地带，活动对象为媒体、观众及指导老师等，需配备大屏幕、监控设施及计时装置。大赛当天可通过大屏幕展示赛场竞赛效果，既满足场内外信息联动，又可起到公众监督的作用，体现大赛“公正、公开、公平”的竞赛原则。</w:t>
      </w:r>
    </w:p>
    <w:p>
      <w:pPr>
        <w:pStyle w:val="49"/>
        <w:spacing w:line="560" w:lineRule="exact"/>
        <w:rPr>
          <w:rFonts w:hint="eastAsia"/>
        </w:rPr>
      </w:pPr>
      <w:r>
        <w:rPr>
          <w:rFonts w:hint="eastAsia"/>
        </w:rPr>
        <w:t>3. 裁判区域</w:t>
      </w:r>
    </w:p>
    <w:p>
      <w:pPr>
        <w:pStyle w:val="49"/>
        <w:spacing w:line="560" w:lineRule="exact"/>
        <w:rPr>
          <w:rFonts w:hint="eastAsia"/>
        </w:rPr>
      </w:pPr>
      <w:r>
        <w:rPr>
          <w:rFonts w:hint="eastAsia"/>
        </w:rPr>
        <w:t>指定的裁判工作场地。场地空间满足工作需要，配备必要辅助设备。</w:t>
      </w:r>
    </w:p>
    <w:p>
      <w:pPr>
        <w:pStyle w:val="49"/>
        <w:spacing w:line="560" w:lineRule="exact"/>
        <w:rPr>
          <w:rFonts w:hint="eastAsia"/>
        </w:rPr>
      </w:pPr>
      <w:r>
        <w:rPr>
          <w:rFonts w:hint="eastAsia"/>
        </w:rPr>
        <w:t>4. 后台监控中心区域</w:t>
      </w:r>
    </w:p>
    <w:p>
      <w:pPr>
        <w:pStyle w:val="49"/>
        <w:spacing w:line="560" w:lineRule="exact"/>
        <w:rPr>
          <w:rFonts w:hint="eastAsia"/>
        </w:rPr>
      </w:pPr>
      <w:r>
        <w:rPr>
          <w:rFonts w:hint="eastAsia"/>
        </w:rPr>
        <w:t>监控整个比赛的区域。具体软硬件需求由组委会统一制定。</w:t>
      </w:r>
    </w:p>
    <w:p>
      <w:pPr>
        <w:snapToGrid w:val="0"/>
        <w:spacing w:line="560" w:lineRule="exact"/>
        <w:ind w:firstLine="562" w:firstLineChars="200"/>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九、技术规范</w:t>
      </w:r>
    </w:p>
    <w:p>
      <w:pPr>
        <w:pStyle w:val="49"/>
        <w:spacing w:line="560" w:lineRule="exact"/>
        <w:rPr>
          <w:rFonts w:hint="eastAsia"/>
        </w:rPr>
      </w:pPr>
      <w:r>
        <w:rPr>
          <w:rFonts w:hint="eastAsia"/>
        </w:rPr>
        <w:t>（一）相关知识与技能</w:t>
      </w:r>
    </w:p>
    <w:p>
      <w:pPr>
        <w:pStyle w:val="49"/>
        <w:spacing w:line="560" w:lineRule="exact"/>
        <w:rPr>
          <w:rFonts w:hint="eastAsia" w:hAnsi="黑体" w:cs="宋体"/>
          <w:bCs/>
        </w:rPr>
      </w:pPr>
      <w:r>
        <w:rPr>
          <w:rFonts w:hint="eastAsia"/>
        </w:rPr>
        <w:t xml:space="preserve">1. </w:t>
      </w:r>
      <w:r>
        <w:rPr>
          <w:rFonts w:hint="eastAsia" w:hAnsi="黑体" w:cs="宋体"/>
          <w:bCs/>
        </w:rPr>
        <w:t>移动通信基本概念及原理。</w:t>
      </w:r>
    </w:p>
    <w:p>
      <w:pPr>
        <w:pStyle w:val="49"/>
        <w:spacing w:line="560" w:lineRule="exact"/>
        <w:rPr>
          <w:rFonts w:hint="eastAsia" w:hAnsi="黑体" w:cs="宋体"/>
          <w:bCs/>
        </w:rPr>
      </w:pPr>
      <w:r>
        <w:rPr>
          <w:rFonts w:hint="eastAsia"/>
        </w:rPr>
        <w:t xml:space="preserve">2. </w:t>
      </w:r>
      <w:r>
        <w:rPr>
          <w:rFonts w:hint="eastAsia" w:hAnsi="黑体" w:cs="宋体"/>
          <w:bCs/>
        </w:rPr>
        <w:t>4G关键技术、协议规范。</w:t>
      </w:r>
    </w:p>
    <w:p>
      <w:pPr>
        <w:pStyle w:val="49"/>
        <w:spacing w:line="560" w:lineRule="exact"/>
        <w:rPr>
          <w:rFonts w:hint="eastAsia" w:hAnsi="黑体" w:cs="宋体"/>
          <w:bCs/>
        </w:rPr>
      </w:pPr>
      <w:r>
        <w:rPr>
          <w:rFonts w:hint="eastAsia"/>
        </w:rPr>
        <w:t xml:space="preserve">3. </w:t>
      </w:r>
      <w:r>
        <w:rPr>
          <w:rFonts w:hint="eastAsia" w:hAnsi="黑体" w:cs="宋体"/>
          <w:bCs/>
        </w:rPr>
        <w:t>4G设备基础知识、设备配置操作、工程规范。</w:t>
      </w:r>
    </w:p>
    <w:p>
      <w:pPr>
        <w:pStyle w:val="49"/>
        <w:spacing w:line="560" w:lineRule="exact"/>
        <w:rPr>
          <w:rFonts w:hint="eastAsia" w:hAnsi="黑体"/>
        </w:rPr>
      </w:pPr>
      <w:r>
        <w:rPr>
          <w:rFonts w:hint="eastAsia"/>
        </w:rPr>
        <w:t xml:space="preserve">4. </w:t>
      </w:r>
      <w:r>
        <w:rPr>
          <w:rFonts w:hint="eastAsia" w:hAnsi="黑体" w:cs="宋体"/>
          <w:bCs/>
        </w:rPr>
        <w:t>4G仿真系统操作能力。</w:t>
      </w:r>
    </w:p>
    <w:p>
      <w:pPr>
        <w:pStyle w:val="49"/>
        <w:spacing w:line="560" w:lineRule="exact"/>
        <w:rPr>
          <w:rFonts w:hint="eastAsia" w:hAnsi="黑体" w:cs="宋体"/>
          <w:bCs/>
        </w:rPr>
      </w:pPr>
      <w:r>
        <w:rPr>
          <w:rFonts w:hint="eastAsia"/>
        </w:rPr>
        <w:t xml:space="preserve">5. </w:t>
      </w:r>
      <w:r>
        <w:rPr>
          <w:rFonts w:hint="eastAsia" w:hAnsi="黑体" w:cs="宋体"/>
          <w:bCs/>
        </w:rPr>
        <w:t>4G网络系统各种线缆的认知与应用。</w:t>
      </w:r>
    </w:p>
    <w:p>
      <w:pPr>
        <w:pStyle w:val="49"/>
        <w:spacing w:line="560" w:lineRule="exact"/>
        <w:rPr>
          <w:rFonts w:hint="eastAsia"/>
        </w:rPr>
      </w:pPr>
      <w:r>
        <w:rPr>
          <w:rFonts w:hint="eastAsia"/>
        </w:rPr>
        <w:t>（二）基础技术及要求</w:t>
      </w:r>
    </w:p>
    <w:p>
      <w:pPr>
        <w:pStyle w:val="49"/>
        <w:spacing w:line="560" w:lineRule="exact"/>
        <w:rPr>
          <w:rFonts w:hint="eastAsia" w:hAnsi="黑体" w:cs="宋体"/>
          <w:bCs/>
        </w:rPr>
      </w:pPr>
      <w:r>
        <w:rPr>
          <w:rFonts w:hint="eastAsia"/>
        </w:rPr>
        <w:t xml:space="preserve">1. </w:t>
      </w:r>
      <w:r>
        <w:rPr>
          <w:rFonts w:hint="eastAsia" w:hAnsi="黑体" w:cs="宋体"/>
          <w:bCs/>
        </w:rPr>
        <w:t>LTE无线接入网设备调试技术、系统组网技术。</w:t>
      </w:r>
    </w:p>
    <w:p>
      <w:pPr>
        <w:pStyle w:val="49"/>
        <w:spacing w:line="560" w:lineRule="exact"/>
        <w:rPr>
          <w:rFonts w:hint="eastAsia" w:hAnsi="黑体" w:cs="宋体"/>
          <w:bCs/>
        </w:rPr>
      </w:pPr>
      <w:r>
        <w:rPr>
          <w:rFonts w:hint="eastAsia"/>
        </w:rPr>
        <w:t xml:space="preserve">2. </w:t>
      </w:r>
      <w:r>
        <w:rPr>
          <w:rFonts w:hint="eastAsia" w:hAnsi="黑体" w:cs="宋体"/>
          <w:bCs/>
        </w:rPr>
        <w:t>LTE无线接入网设备常见故障的分析和排查技术。</w:t>
      </w:r>
    </w:p>
    <w:p>
      <w:pPr>
        <w:pStyle w:val="49"/>
        <w:spacing w:line="560" w:lineRule="exact"/>
        <w:rPr>
          <w:rFonts w:hint="eastAsia" w:hAnsi="黑体" w:cs="宋体"/>
          <w:bCs/>
        </w:rPr>
      </w:pPr>
      <w:r>
        <w:rPr>
          <w:rFonts w:hint="eastAsia"/>
        </w:rPr>
        <w:t xml:space="preserve">3. </w:t>
      </w:r>
      <w:r>
        <w:rPr>
          <w:rFonts w:hint="eastAsia" w:hAnsi="黑体" w:cs="宋体"/>
          <w:bCs/>
        </w:rPr>
        <w:t>承载网设备调试技术、系统组网技术。</w:t>
      </w:r>
    </w:p>
    <w:p>
      <w:pPr>
        <w:pStyle w:val="49"/>
        <w:spacing w:line="560" w:lineRule="exact"/>
        <w:rPr>
          <w:rFonts w:hint="eastAsia" w:hAnsi="黑体" w:cs="宋体"/>
          <w:bCs/>
        </w:rPr>
      </w:pPr>
      <w:r>
        <w:rPr>
          <w:rFonts w:hint="eastAsia"/>
        </w:rPr>
        <w:t xml:space="preserve">4. </w:t>
      </w:r>
      <w:r>
        <w:rPr>
          <w:rFonts w:hint="eastAsia" w:hAnsi="黑体" w:cs="宋体"/>
          <w:bCs/>
        </w:rPr>
        <w:t>承载网设备常见故障的分析和排查技术。</w:t>
      </w:r>
    </w:p>
    <w:p>
      <w:pPr>
        <w:pStyle w:val="49"/>
        <w:spacing w:line="560" w:lineRule="exact"/>
        <w:rPr>
          <w:rFonts w:hint="eastAsia" w:hAnsi="黑体" w:cs="宋体"/>
          <w:bCs/>
        </w:rPr>
      </w:pPr>
      <w:r>
        <w:rPr>
          <w:rFonts w:hint="eastAsia"/>
        </w:rPr>
        <w:t xml:space="preserve">5. </w:t>
      </w:r>
      <w:r>
        <w:rPr>
          <w:rFonts w:hint="eastAsia" w:hAnsi="黑体" w:cs="宋体"/>
          <w:bCs/>
        </w:rPr>
        <w:t>EPC核心网设备调试技术、系统组网技术。</w:t>
      </w:r>
    </w:p>
    <w:p>
      <w:pPr>
        <w:pStyle w:val="49"/>
        <w:spacing w:line="560" w:lineRule="exact"/>
        <w:rPr>
          <w:rFonts w:hint="eastAsia" w:hAnsi="黑体" w:cs="宋体"/>
          <w:bCs/>
        </w:rPr>
      </w:pPr>
      <w:r>
        <w:rPr>
          <w:rFonts w:hint="eastAsia"/>
        </w:rPr>
        <w:t xml:space="preserve">6. </w:t>
      </w:r>
      <w:r>
        <w:rPr>
          <w:rFonts w:hint="eastAsia" w:hAnsi="黑体" w:cs="宋体"/>
          <w:bCs/>
        </w:rPr>
        <w:t>EPC核心网设备常见故障的分析和排查技术。</w:t>
      </w:r>
    </w:p>
    <w:p>
      <w:pPr>
        <w:pStyle w:val="49"/>
        <w:spacing w:line="560" w:lineRule="exact"/>
        <w:rPr>
          <w:rFonts w:hint="eastAsia" w:hAnsi="黑体" w:cs="宋体"/>
          <w:bCs/>
        </w:rPr>
      </w:pPr>
      <w:r>
        <w:rPr>
          <w:rFonts w:hint="eastAsia" w:hAnsi="黑体" w:cs="宋体"/>
          <w:bCs/>
        </w:rPr>
        <w:t>7</w:t>
      </w:r>
      <w:r>
        <w:rPr>
          <w:rFonts w:hint="eastAsia"/>
        </w:rPr>
        <w:t xml:space="preserve">. </w:t>
      </w:r>
      <w:r>
        <w:rPr>
          <w:rFonts w:hint="eastAsia" w:hAnsi="黑体" w:cs="宋体"/>
          <w:bCs/>
        </w:rPr>
        <w:t>4G工程规范和文档编写。</w:t>
      </w:r>
    </w:p>
    <w:p>
      <w:pPr>
        <w:pStyle w:val="49"/>
        <w:spacing w:line="560" w:lineRule="exact"/>
        <w:rPr>
          <w:rFonts w:hint="eastAsia"/>
        </w:rPr>
      </w:pPr>
      <w:r>
        <w:rPr>
          <w:rFonts w:hint="eastAsia"/>
        </w:rPr>
        <w:t>（三）操作规程与要求</w:t>
      </w:r>
    </w:p>
    <w:p>
      <w:pPr>
        <w:pStyle w:val="49"/>
        <w:spacing w:line="560" w:lineRule="exact"/>
        <w:rPr>
          <w:rFonts w:hint="eastAsia"/>
        </w:rPr>
      </w:pPr>
      <w:r>
        <w:rPr>
          <w:rFonts w:hint="eastAsia"/>
        </w:rPr>
        <w:t>1. BBU设备操作规程与要求。</w:t>
      </w:r>
    </w:p>
    <w:p>
      <w:pPr>
        <w:pStyle w:val="49"/>
        <w:spacing w:line="560" w:lineRule="exact"/>
        <w:rPr>
          <w:rFonts w:hint="eastAsia"/>
        </w:rPr>
      </w:pPr>
      <w:r>
        <w:rPr>
          <w:rFonts w:hint="eastAsia"/>
        </w:rPr>
        <w:t>2. RRU设备操作规程与要求。</w:t>
      </w:r>
    </w:p>
    <w:p>
      <w:pPr>
        <w:pStyle w:val="49"/>
        <w:spacing w:line="560" w:lineRule="exact"/>
        <w:rPr>
          <w:rFonts w:hint="eastAsia"/>
        </w:rPr>
      </w:pPr>
      <w:r>
        <w:rPr>
          <w:rFonts w:hint="eastAsia"/>
        </w:rPr>
        <w:t>3. ODF设备操作规程与要求。</w:t>
      </w:r>
    </w:p>
    <w:p>
      <w:pPr>
        <w:pStyle w:val="49"/>
        <w:spacing w:line="560" w:lineRule="exact"/>
        <w:rPr>
          <w:rFonts w:hint="eastAsia"/>
        </w:rPr>
      </w:pPr>
      <w:r>
        <w:rPr>
          <w:rFonts w:hint="eastAsia"/>
        </w:rPr>
        <w:t>4. PTN设备操作规程与要求。</w:t>
      </w:r>
    </w:p>
    <w:p>
      <w:pPr>
        <w:pStyle w:val="49"/>
        <w:spacing w:line="560" w:lineRule="exact"/>
        <w:rPr>
          <w:rFonts w:hint="eastAsia"/>
        </w:rPr>
      </w:pPr>
      <w:r>
        <w:rPr>
          <w:rFonts w:hint="eastAsia"/>
        </w:rPr>
        <w:t>5. OTN设备操作规程与要求。</w:t>
      </w:r>
    </w:p>
    <w:p>
      <w:pPr>
        <w:pStyle w:val="49"/>
        <w:spacing w:line="560" w:lineRule="exact"/>
        <w:rPr>
          <w:rFonts w:hint="eastAsia"/>
        </w:rPr>
      </w:pPr>
      <w:r>
        <w:rPr>
          <w:rFonts w:hint="eastAsia"/>
        </w:rPr>
        <w:t>6. 路由器操作规程与要求。</w:t>
      </w:r>
    </w:p>
    <w:p>
      <w:pPr>
        <w:pStyle w:val="49"/>
        <w:spacing w:line="560" w:lineRule="exact"/>
        <w:rPr>
          <w:rFonts w:hint="eastAsia"/>
        </w:rPr>
      </w:pPr>
      <w:r>
        <w:rPr>
          <w:rFonts w:hint="eastAsia"/>
        </w:rPr>
        <w:t>7. 交换机操作规程与要求。</w:t>
      </w:r>
    </w:p>
    <w:p>
      <w:pPr>
        <w:pStyle w:val="49"/>
        <w:spacing w:line="560" w:lineRule="exact"/>
        <w:rPr>
          <w:rFonts w:hint="eastAsia"/>
        </w:rPr>
      </w:pPr>
      <w:r>
        <w:rPr>
          <w:rFonts w:hint="eastAsia"/>
        </w:rPr>
        <w:t>8. MME设备操作规程与要求。</w:t>
      </w:r>
    </w:p>
    <w:p>
      <w:pPr>
        <w:pStyle w:val="49"/>
        <w:spacing w:line="560" w:lineRule="exact"/>
        <w:rPr>
          <w:rFonts w:hint="eastAsia"/>
        </w:rPr>
      </w:pPr>
      <w:r>
        <w:rPr>
          <w:rFonts w:hint="eastAsia"/>
        </w:rPr>
        <w:t>9. SGW设备操作规程与要求。</w:t>
      </w:r>
    </w:p>
    <w:p>
      <w:pPr>
        <w:pStyle w:val="49"/>
        <w:spacing w:line="560" w:lineRule="exact"/>
        <w:rPr>
          <w:rFonts w:hint="eastAsia"/>
        </w:rPr>
      </w:pPr>
      <w:r>
        <w:rPr>
          <w:rFonts w:hint="eastAsia"/>
        </w:rPr>
        <w:t>10. PGW设备操作规程与要求。</w:t>
      </w:r>
    </w:p>
    <w:p>
      <w:pPr>
        <w:pStyle w:val="49"/>
        <w:spacing w:line="560" w:lineRule="exact"/>
        <w:rPr>
          <w:rFonts w:hint="eastAsia"/>
        </w:rPr>
      </w:pPr>
      <w:r>
        <w:rPr>
          <w:rFonts w:hint="eastAsia"/>
        </w:rPr>
        <w:t>11. HSS设备操作规程与要求。</w:t>
      </w:r>
    </w:p>
    <w:p>
      <w:pPr>
        <w:pStyle w:val="49"/>
        <w:spacing w:line="560" w:lineRule="exact"/>
        <w:rPr>
          <w:rFonts w:hint="eastAsia"/>
        </w:rPr>
      </w:pPr>
      <w:r>
        <w:rPr>
          <w:rFonts w:hint="eastAsia"/>
        </w:rPr>
        <w:t>12. UE设备操作规程与要求。</w:t>
      </w:r>
    </w:p>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十、技术平台</w:t>
      </w:r>
    </w:p>
    <w:p>
      <w:pPr>
        <w:pStyle w:val="49"/>
        <w:spacing w:line="560" w:lineRule="exact"/>
        <w:rPr>
          <w:rFonts w:hint="eastAsia"/>
        </w:rPr>
      </w:pPr>
      <w:r>
        <w:rPr>
          <w:rFonts w:hint="eastAsia"/>
        </w:rPr>
        <w:t>中兴通讯为大赛提供4G LTE全网竞技系统作为竞赛平台。该系统通过虚拟实现4G LTE网络中eNodeB（TDD/FDD）、承载网以及EPC核心网设备的调试与维护，可以完成LTE无线接入网、承载网以及核心网的网络规划与设备线缆连接，各模块数据配置以及全网业务对接和演示等功能。</w:t>
      </w:r>
    </w:p>
    <w:p>
      <w:pPr>
        <w:spacing w:line="560" w:lineRule="exact"/>
        <w:jc w:val="center"/>
        <w:rPr>
          <w:rFonts w:hint="eastAsia" w:ascii="仿宋_GB2312" w:hAnsi="仿宋" w:eastAsia="仿宋_GB2312" w:cs="宋体"/>
          <w:b/>
          <w:bCs/>
          <w:kern w:val="0"/>
          <w:sz w:val="24"/>
          <w:szCs w:val="24"/>
        </w:rPr>
      </w:pPr>
      <w:r>
        <w:rPr>
          <w:rFonts w:hint="eastAsia" w:ascii="仿宋_GB2312" w:hAnsi="仿宋" w:eastAsia="仿宋_GB2312" w:cs="宋体"/>
          <w:b/>
          <w:bCs/>
          <w:kern w:val="0"/>
          <w:sz w:val="24"/>
          <w:szCs w:val="24"/>
        </w:rPr>
        <w:t>表2 4G LTE全网竞技系统配置清单</w:t>
      </w:r>
    </w:p>
    <w:tbl>
      <w:tblPr>
        <w:tblStyle w:val="21"/>
        <w:tblW w:w="6783" w:type="dxa"/>
        <w:jc w:val="center"/>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61"/>
        <w:gridCol w:w="4347"/>
        <w:gridCol w:w="708"/>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jc w:val="center"/>
        </w:trPr>
        <w:tc>
          <w:tcPr>
            <w:tcW w:w="961" w:type="dxa"/>
            <w:tcBorders>
              <w:top w:val="single" w:color="000000" w:sz="8" w:space="0"/>
              <w:left w:val="single" w:color="000000" w:sz="8" w:space="0"/>
              <w:bottom w:val="single" w:color="auto" w:sz="8" w:space="0"/>
              <w:right w:val="single" w:color="000000" w:sz="8" w:space="0"/>
            </w:tcBorders>
            <w:shd w:val="clear" w:color="000000" w:fill="auto"/>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4347" w:type="dxa"/>
            <w:tcBorders>
              <w:top w:val="single" w:color="000000" w:sz="8" w:space="0"/>
              <w:left w:val="nil"/>
              <w:bottom w:val="single" w:color="000000" w:sz="8" w:space="0"/>
              <w:right w:val="single" w:color="000000" w:sz="8" w:space="0"/>
            </w:tcBorders>
            <w:shd w:val="clear" w:color="000000" w:fill="auto"/>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名称</w:t>
            </w:r>
          </w:p>
        </w:tc>
        <w:tc>
          <w:tcPr>
            <w:tcW w:w="708" w:type="dxa"/>
            <w:tcBorders>
              <w:top w:val="single" w:color="000000" w:sz="8" w:space="0"/>
              <w:left w:val="nil"/>
              <w:bottom w:val="single" w:color="000000" w:sz="8" w:space="0"/>
              <w:right w:val="single" w:color="000000" w:sz="8" w:space="0"/>
            </w:tcBorders>
            <w:shd w:val="clear" w:color="000000" w:fill="auto"/>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单位</w:t>
            </w:r>
          </w:p>
        </w:tc>
        <w:tc>
          <w:tcPr>
            <w:tcW w:w="767" w:type="dxa"/>
            <w:tcBorders>
              <w:top w:val="single" w:color="000000" w:sz="8" w:space="0"/>
              <w:left w:val="nil"/>
              <w:bottom w:val="single" w:color="000000" w:sz="8" w:space="0"/>
              <w:right w:val="single" w:color="000000" w:sz="8" w:space="0"/>
            </w:tcBorders>
            <w:shd w:val="clear" w:color="000000" w:fill="auto"/>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jc w:val="center"/>
        </w:trPr>
        <w:tc>
          <w:tcPr>
            <w:tcW w:w="961" w:type="dxa"/>
            <w:tcBorders>
              <w:top w:val="single" w:color="auto" w:sz="8" w:space="0"/>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LTE无线接入网仿真系统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1.1</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无线接入网规划与设备配置仿真系统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套</w:t>
            </w: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1.2</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无线接入数据配置仿真系统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套</w:t>
            </w: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2</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EPC核心网仿真系统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2.1</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核心网规划与设备配置仿真系统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套</w:t>
            </w: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2.2</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核心网数据配置仿真系统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套</w:t>
            </w: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3</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承载网仿真系统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3.1</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PTN仿真系统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套</w:t>
            </w: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3.2</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OTN仿真系统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套</w:t>
            </w: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4</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数据通信仿真系统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套</w:t>
            </w: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5</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全网业务测试仿真系统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套</w:t>
            </w: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61"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6</w:t>
            </w:r>
          </w:p>
        </w:tc>
        <w:tc>
          <w:tcPr>
            <w:tcW w:w="434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全网故障判断与定位仿真系统</w:t>
            </w:r>
          </w:p>
        </w:tc>
        <w:tc>
          <w:tcPr>
            <w:tcW w:w="708"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套</w:t>
            </w:r>
          </w:p>
        </w:tc>
        <w:tc>
          <w:tcPr>
            <w:tcW w:w="767"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Arial" w:eastAsia="仿宋_GB2312" w:cs="Arial"/>
                <w:bCs/>
                <w:color w:val="000000"/>
                <w:kern w:val="0"/>
                <w:sz w:val="24"/>
                <w:szCs w:val="24"/>
              </w:rPr>
            </w:pPr>
            <w:r>
              <w:rPr>
                <w:rFonts w:hint="eastAsia" w:ascii="仿宋_GB2312" w:hAnsi="Arial" w:eastAsia="仿宋_GB2312" w:cs="Arial"/>
                <w:bCs/>
                <w:color w:val="000000"/>
                <w:kern w:val="0"/>
                <w:sz w:val="24"/>
                <w:szCs w:val="24"/>
              </w:rPr>
              <w:t>1</w:t>
            </w:r>
          </w:p>
        </w:tc>
      </w:tr>
    </w:tbl>
    <w:p>
      <w:pPr>
        <w:spacing w:line="560" w:lineRule="exact"/>
        <w:jc w:val="center"/>
        <w:rPr>
          <w:rFonts w:hint="eastAsia" w:ascii="仿宋_GB2312" w:hAnsi="仿宋" w:eastAsia="仿宋_GB2312" w:cs="宋体"/>
          <w:bCs/>
          <w:kern w:val="0"/>
          <w:sz w:val="28"/>
          <w:szCs w:val="28"/>
        </w:rPr>
      </w:pPr>
    </w:p>
    <w:p>
      <w:pPr>
        <w:spacing w:line="560" w:lineRule="exact"/>
        <w:jc w:val="center"/>
        <w:rPr>
          <w:rFonts w:hint="eastAsia" w:ascii="仿宋_GB2312" w:hAnsi="仿宋" w:eastAsia="仿宋_GB2312" w:cs="宋体"/>
          <w:b/>
          <w:bCs/>
          <w:kern w:val="0"/>
          <w:sz w:val="24"/>
          <w:szCs w:val="24"/>
        </w:rPr>
      </w:pPr>
      <w:r>
        <w:rPr>
          <w:rFonts w:hint="eastAsia" w:ascii="仿宋_GB2312" w:hAnsi="仿宋" w:eastAsia="仿宋_GB2312" w:cs="宋体"/>
          <w:b/>
          <w:bCs/>
          <w:kern w:val="0"/>
          <w:sz w:val="24"/>
          <w:szCs w:val="24"/>
        </w:rPr>
        <w:t>表3 4G LTE全网竞技系统运行环境要求</w:t>
      </w:r>
    </w:p>
    <w:tbl>
      <w:tblPr>
        <w:tblStyle w:val="21"/>
        <w:tblW w:w="6431" w:type="dxa"/>
        <w:jc w:val="center"/>
        <w:tblInd w:w="-14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27"/>
        <w:gridCol w:w="1275"/>
        <w:gridCol w:w="4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jc w:val="center"/>
        </w:trPr>
        <w:tc>
          <w:tcPr>
            <w:tcW w:w="927" w:type="dxa"/>
            <w:tcBorders>
              <w:top w:val="single" w:color="000000" w:sz="8" w:space="0"/>
              <w:left w:val="single" w:color="000000" w:sz="8" w:space="0"/>
              <w:bottom w:val="single" w:color="auto" w:sz="8" w:space="0"/>
              <w:right w:val="single" w:color="000000" w:sz="8" w:space="0"/>
            </w:tcBorders>
            <w:shd w:val="clear" w:color="000000" w:fill="auto"/>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序号</w:t>
            </w:r>
          </w:p>
        </w:tc>
        <w:tc>
          <w:tcPr>
            <w:tcW w:w="1275" w:type="dxa"/>
            <w:tcBorders>
              <w:top w:val="single" w:color="000000" w:sz="8" w:space="0"/>
              <w:left w:val="nil"/>
              <w:bottom w:val="single" w:color="000000" w:sz="8" w:space="0"/>
              <w:right w:val="single" w:color="000000" w:sz="8" w:space="0"/>
            </w:tcBorders>
            <w:shd w:val="clear" w:color="000000" w:fill="auto"/>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内容</w:t>
            </w:r>
          </w:p>
        </w:tc>
        <w:tc>
          <w:tcPr>
            <w:tcW w:w="4229" w:type="dxa"/>
            <w:tcBorders>
              <w:top w:val="single" w:color="000000" w:sz="8" w:space="0"/>
              <w:left w:val="nil"/>
              <w:bottom w:val="single" w:color="000000" w:sz="8" w:space="0"/>
              <w:right w:val="single" w:color="000000" w:sz="8" w:space="0"/>
            </w:tcBorders>
            <w:shd w:val="clear" w:color="000000" w:fill="auto"/>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27" w:type="dxa"/>
            <w:tcBorders>
              <w:top w:val="single" w:color="auto" w:sz="8" w:space="0"/>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w:t>
            </w:r>
          </w:p>
        </w:tc>
        <w:tc>
          <w:tcPr>
            <w:tcW w:w="1275"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客户端</w:t>
            </w:r>
          </w:p>
        </w:tc>
        <w:tc>
          <w:tcPr>
            <w:tcW w:w="4229"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CPU：Intel i3及以上，推荐i5 </w:t>
            </w:r>
            <w:r>
              <w:rPr>
                <w:rFonts w:hint="eastAsia" w:ascii="仿宋_GB2312" w:hAnsi="宋体" w:eastAsia="仿宋_GB2312" w:cs="宋体"/>
                <w:b w:val="0"/>
                <w:bCs w:val="0"/>
                <w:color w:val="000000"/>
                <w:kern w:val="0"/>
                <w:sz w:val="24"/>
                <w:szCs w:val="24"/>
              </w:rPr>
              <w:br/>
            </w:r>
            <w:r>
              <w:rPr>
                <w:rFonts w:hint="eastAsia" w:ascii="仿宋_GB2312" w:hAnsi="宋体" w:eastAsia="仿宋_GB2312" w:cs="宋体"/>
                <w:b w:val="0"/>
                <w:bCs w:val="0"/>
                <w:color w:val="000000"/>
                <w:kern w:val="0"/>
                <w:sz w:val="24"/>
                <w:szCs w:val="24"/>
              </w:rPr>
              <w:t>内存：4GB及以上 </w:t>
            </w:r>
            <w:r>
              <w:rPr>
                <w:rFonts w:hint="eastAsia" w:ascii="仿宋_GB2312" w:hAnsi="宋体" w:eastAsia="仿宋_GB2312" w:cs="宋体"/>
                <w:b w:val="0"/>
                <w:bCs w:val="0"/>
                <w:color w:val="000000"/>
                <w:kern w:val="0"/>
                <w:sz w:val="24"/>
                <w:szCs w:val="24"/>
              </w:rPr>
              <w:br/>
            </w:r>
            <w:r>
              <w:rPr>
                <w:rFonts w:hint="eastAsia" w:ascii="仿宋_GB2312" w:hAnsi="宋体" w:eastAsia="仿宋_GB2312" w:cs="宋体"/>
                <w:b w:val="0"/>
                <w:bCs w:val="0"/>
                <w:color w:val="000000"/>
                <w:kern w:val="0"/>
                <w:sz w:val="24"/>
                <w:szCs w:val="24"/>
              </w:rPr>
              <w:t>硬盘：余量空间1GB及以上 </w:t>
            </w:r>
            <w:r>
              <w:rPr>
                <w:rFonts w:hint="eastAsia" w:ascii="仿宋_GB2312" w:hAnsi="宋体" w:eastAsia="仿宋_GB2312" w:cs="宋体"/>
                <w:b w:val="0"/>
                <w:bCs w:val="0"/>
                <w:color w:val="000000"/>
                <w:kern w:val="0"/>
                <w:sz w:val="24"/>
                <w:szCs w:val="24"/>
              </w:rPr>
              <w:br/>
            </w:r>
            <w:r>
              <w:rPr>
                <w:rFonts w:hint="eastAsia" w:ascii="仿宋_GB2312" w:hAnsi="宋体" w:eastAsia="仿宋_GB2312" w:cs="宋体"/>
                <w:b w:val="0"/>
                <w:bCs w:val="0"/>
                <w:color w:val="000000"/>
                <w:kern w:val="0"/>
                <w:sz w:val="24"/>
                <w:szCs w:val="24"/>
              </w:rPr>
              <w:t>显示器：分辨率1440*900及以上 </w:t>
            </w:r>
            <w:r>
              <w:rPr>
                <w:rFonts w:hint="eastAsia" w:ascii="仿宋_GB2312" w:hAnsi="宋体" w:eastAsia="仿宋_GB2312" w:cs="宋体"/>
                <w:b w:val="0"/>
                <w:bCs w:val="0"/>
                <w:color w:val="000000"/>
                <w:kern w:val="0"/>
                <w:sz w:val="24"/>
                <w:szCs w:val="24"/>
              </w:rPr>
              <w:br/>
            </w:r>
            <w:r>
              <w:rPr>
                <w:rFonts w:hint="eastAsia" w:ascii="仿宋_GB2312" w:hAnsi="宋体" w:eastAsia="仿宋_GB2312" w:cs="宋体"/>
                <w:b w:val="0"/>
                <w:bCs w:val="0"/>
                <w:color w:val="000000"/>
                <w:kern w:val="0"/>
                <w:sz w:val="24"/>
                <w:szCs w:val="24"/>
              </w:rPr>
              <w:t>软件要求：安装adobe air，浏览器IE9及以上，推荐chrome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27"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2</w:t>
            </w:r>
          </w:p>
        </w:tc>
        <w:tc>
          <w:tcPr>
            <w:tcW w:w="1275"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服务器</w:t>
            </w:r>
          </w:p>
        </w:tc>
        <w:tc>
          <w:tcPr>
            <w:tcW w:w="4229"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CPU：Intel至强Xeon E3系列及以上 </w:t>
            </w:r>
            <w:r>
              <w:rPr>
                <w:rFonts w:hint="eastAsia" w:ascii="仿宋_GB2312" w:hAnsi="宋体" w:eastAsia="仿宋_GB2312" w:cs="宋体"/>
                <w:b w:val="0"/>
                <w:bCs w:val="0"/>
                <w:color w:val="000000"/>
                <w:kern w:val="0"/>
                <w:sz w:val="24"/>
                <w:szCs w:val="24"/>
              </w:rPr>
              <w:br/>
            </w:r>
            <w:r>
              <w:rPr>
                <w:rFonts w:hint="eastAsia" w:ascii="仿宋_GB2312" w:hAnsi="宋体" w:eastAsia="仿宋_GB2312" w:cs="宋体"/>
                <w:b w:val="0"/>
                <w:bCs w:val="0"/>
                <w:color w:val="000000"/>
                <w:kern w:val="0"/>
                <w:sz w:val="24"/>
                <w:szCs w:val="24"/>
              </w:rPr>
              <w:t>内存：8GB及以上 </w:t>
            </w:r>
            <w:r>
              <w:rPr>
                <w:rFonts w:hint="eastAsia" w:ascii="仿宋_GB2312" w:hAnsi="宋体" w:eastAsia="仿宋_GB2312" w:cs="宋体"/>
                <w:b w:val="0"/>
                <w:bCs w:val="0"/>
                <w:color w:val="000000"/>
                <w:kern w:val="0"/>
                <w:sz w:val="24"/>
                <w:szCs w:val="24"/>
              </w:rPr>
              <w:br/>
            </w:r>
            <w:r>
              <w:rPr>
                <w:rFonts w:hint="eastAsia" w:ascii="仿宋_GB2312" w:hAnsi="宋体" w:eastAsia="仿宋_GB2312" w:cs="宋体"/>
                <w:b w:val="0"/>
                <w:bCs w:val="0"/>
                <w:color w:val="000000"/>
                <w:kern w:val="0"/>
                <w:sz w:val="24"/>
                <w:szCs w:val="24"/>
              </w:rPr>
              <w:t>硬盘：500GB及以上 </w:t>
            </w:r>
            <w:r>
              <w:rPr>
                <w:rFonts w:hint="eastAsia" w:ascii="仿宋_GB2312" w:hAnsi="宋体" w:eastAsia="仿宋_GB2312" w:cs="宋体"/>
                <w:b w:val="0"/>
                <w:bCs w:val="0"/>
                <w:color w:val="000000"/>
                <w:kern w:val="0"/>
                <w:sz w:val="24"/>
                <w:szCs w:val="24"/>
              </w:rPr>
              <w:br/>
            </w:r>
            <w:r>
              <w:rPr>
                <w:rFonts w:hint="eastAsia" w:ascii="仿宋_GB2312" w:hAnsi="宋体" w:eastAsia="仿宋_GB2312" w:cs="宋体"/>
                <w:b w:val="0"/>
                <w:bCs w:val="0"/>
                <w:color w:val="000000"/>
                <w:kern w:val="0"/>
                <w:sz w:val="24"/>
                <w:szCs w:val="24"/>
              </w:rPr>
              <w:t>操作系统：Windows 2008 server </w:t>
            </w:r>
            <w:r>
              <w:rPr>
                <w:rFonts w:hint="eastAsia" w:ascii="仿宋_GB2312" w:hAnsi="宋体" w:eastAsia="仿宋_GB2312" w:cs="宋体"/>
                <w:b w:val="0"/>
                <w:bCs w:val="0"/>
                <w:color w:val="000000"/>
                <w:kern w:val="0"/>
                <w:sz w:val="24"/>
                <w:szCs w:val="24"/>
              </w:rPr>
              <w:br/>
            </w:r>
            <w:r>
              <w:rPr>
                <w:rFonts w:hint="eastAsia" w:ascii="仿宋_GB2312" w:hAnsi="宋体" w:eastAsia="仿宋_GB2312" w:cs="宋体"/>
                <w:b w:val="0"/>
                <w:bCs w:val="0"/>
                <w:color w:val="000000"/>
                <w:kern w:val="0"/>
                <w:sz w:val="24"/>
                <w:szCs w:val="24"/>
              </w:rPr>
              <w:t>软件要求：JDK1.8，MySQL6.0 ，Tomcat8.0 </w:t>
            </w:r>
            <w:r>
              <w:rPr>
                <w:rFonts w:hint="eastAsia" w:ascii="仿宋_GB2312" w:hAnsi="宋体" w:eastAsia="仿宋_GB2312" w:cs="宋体"/>
                <w:b w:val="0"/>
                <w:bCs w:val="0"/>
                <w:color w:val="000000"/>
                <w:kern w:val="0"/>
                <w:sz w:val="24"/>
                <w:szCs w:val="24"/>
              </w:rPr>
              <w:br/>
            </w:r>
            <w:r>
              <w:rPr>
                <w:rFonts w:hint="eastAsia" w:ascii="仿宋_GB2312" w:hAnsi="宋体" w:eastAsia="仿宋_GB2312" w:cs="宋体"/>
                <w:b w:val="0"/>
                <w:bCs w:val="0"/>
                <w:color w:val="000000"/>
                <w:kern w:val="0"/>
                <w:sz w:val="24"/>
                <w:szCs w:val="24"/>
              </w:rPr>
              <w:t>显示器：分辨率1440*900及以上 </w:t>
            </w:r>
            <w:r>
              <w:rPr>
                <w:rFonts w:hint="eastAsia" w:ascii="仿宋_GB2312" w:hAnsi="宋体" w:eastAsia="仿宋_GB2312" w:cs="宋体"/>
                <w:b w:val="0"/>
                <w:bCs w:val="0"/>
                <w:color w:val="000000"/>
                <w:kern w:val="0"/>
                <w:sz w:val="24"/>
                <w:szCs w:val="24"/>
              </w:rPr>
              <w:br/>
            </w:r>
            <w:r>
              <w:rPr>
                <w:rFonts w:hint="eastAsia" w:ascii="仿宋_GB2312" w:hAnsi="宋体" w:eastAsia="仿宋_GB2312" w:cs="宋体"/>
                <w:b w:val="0"/>
                <w:bCs w:val="0"/>
                <w:color w:val="000000"/>
                <w:kern w:val="0"/>
                <w:sz w:val="24"/>
                <w:szCs w:val="24"/>
              </w:rPr>
              <w:t>参考型号：IBM X3650 M4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927" w:type="dxa"/>
            <w:tcBorders>
              <w:top w:val="nil"/>
              <w:left w:val="single" w:color="000000" w:sz="8" w:space="0"/>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3</w:t>
            </w:r>
          </w:p>
        </w:tc>
        <w:tc>
          <w:tcPr>
            <w:tcW w:w="1275"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网络环境</w:t>
            </w:r>
          </w:p>
        </w:tc>
        <w:tc>
          <w:tcPr>
            <w:tcW w:w="4229" w:type="dxa"/>
            <w:tcBorders>
              <w:top w:val="nil"/>
              <w:left w:val="nil"/>
              <w:bottom w:val="single" w:color="000000" w:sz="8" w:space="0"/>
              <w:right w:val="single" w:color="000000" w:sz="8"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局域网</w:t>
            </w:r>
          </w:p>
        </w:tc>
      </w:tr>
    </w:tbl>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十一、成绩评定</w:t>
      </w:r>
    </w:p>
    <w:p>
      <w:pPr>
        <w:pStyle w:val="49"/>
        <w:spacing w:line="560" w:lineRule="exact"/>
        <w:rPr>
          <w:rFonts w:hint="eastAsia"/>
        </w:rPr>
      </w:pPr>
      <w:r>
        <w:rPr>
          <w:rFonts w:hint="eastAsia"/>
        </w:rPr>
        <w:t>（一）评分方法</w:t>
      </w:r>
    </w:p>
    <w:p>
      <w:pPr>
        <w:pStyle w:val="49"/>
        <w:spacing w:line="560" w:lineRule="exact"/>
        <w:rPr>
          <w:rFonts w:hint="eastAsia"/>
        </w:rPr>
      </w:pPr>
      <w:r>
        <w:rPr>
          <w:rFonts w:hint="eastAsia"/>
        </w:rPr>
        <w:t>1. 由10名专家组成裁判组，其中加密裁判3人，分别负责一次加密、二次加密与三次加密。加密裁判不参与评分。</w:t>
      </w:r>
    </w:p>
    <w:p>
      <w:pPr>
        <w:pStyle w:val="49"/>
        <w:spacing w:line="560" w:lineRule="exact"/>
        <w:rPr>
          <w:rFonts w:hint="eastAsia"/>
        </w:rPr>
      </w:pPr>
      <w:r>
        <w:rPr>
          <w:rFonts w:hint="eastAsia"/>
        </w:rPr>
        <w:t>2. 比赛总成绩满分100分。各部分分别计算得分，计入团队总分，错误不传递。</w:t>
      </w:r>
      <w:r>
        <w:rPr>
          <w:rFonts w:hint="eastAsia"/>
          <w:color w:val="000000"/>
        </w:rPr>
        <w:br/>
      </w:r>
      <w:r>
        <w:rPr>
          <w:rFonts w:hint="eastAsia"/>
        </w:rPr>
        <w:t xml:space="preserve">    第一部分 理论考试</w:t>
      </w:r>
    </w:p>
    <w:p>
      <w:pPr>
        <w:pStyle w:val="49"/>
        <w:spacing w:line="560" w:lineRule="exact"/>
        <w:rPr>
          <w:rFonts w:hint="eastAsia"/>
        </w:rPr>
      </w:pPr>
      <w:r>
        <w:rPr>
          <w:rFonts w:hint="eastAsia"/>
        </w:rPr>
        <w:t>采用结果评分（客观评分），由两名评分裁判独立评分。</w:t>
      </w:r>
    </w:p>
    <w:p>
      <w:pPr>
        <w:pStyle w:val="49"/>
        <w:spacing w:line="560" w:lineRule="exact"/>
        <w:rPr>
          <w:rFonts w:hint="eastAsia"/>
        </w:rPr>
      </w:pPr>
      <w:r>
        <w:rPr>
          <w:rFonts w:hint="eastAsia"/>
        </w:rPr>
        <w:t>第二部分 4G网络配置与优化</w:t>
      </w:r>
    </w:p>
    <w:p>
      <w:pPr>
        <w:pStyle w:val="49"/>
        <w:spacing w:line="560" w:lineRule="exact"/>
        <w:rPr>
          <w:rFonts w:hint="eastAsia"/>
        </w:rPr>
      </w:pPr>
      <w:r>
        <w:rPr>
          <w:rFonts w:hint="eastAsia"/>
        </w:rPr>
        <w:t>采用机考评分与结果评分（客观评分）相结合，机考部分的各队完成状态及得分将在裁判电脑及液晶电视上同步显示（以比赛结束时的分数为准）；结果评分采用客观题形式，由两名评分裁判独立评分。</w:t>
      </w:r>
      <w:r>
        <w:rPr>
          <w:rFonts w:hint="eastAsia"/>
        </w:rPr>
        <w:br/>
      </w:r>
      <w:r>
        <w:rPr>
          <w:rFonts w:hint="eastAsia"/>
        </w:rPr>
        <w:t xml:space="preserve">    第三部分 4G网络故障排除</w:t>
      </w:r>
    </w:p>
    <w:p>
      <w:pPr>
        <w:pStyle w:val="49"/>
        <w:spacing w:line="560" w:lineRule="exact"/>
        <w:rPr>
          <w:rFonts w:hint="eastAsia"/>
        </w:rPr>
      </w:pPr>
      <w:r>
        <w:rPr>
          <w:rFonts w:hint="eastAsia"/>
        </w:rPr>
        <w:t>采用机考评分与结果评分（客观评分）相结合。机考部分的各队完成状态及得分将在裁判电脑及液晶电视上同步显示（以比赛结束时分数为准）；结果评分采用客观题形式，由两名评分裁判独立评分。</w:t>
      </w:r>
    </w:p>
    <w:p>
      <w:pPr>
        <w:pStyle w:val="49"/>
        <w:spacing w:line="560" w:lineRule="exact"/>
        <w:rPr>
          <w:rFonts w:hint="eastAsia"/>
        </w:rPr>
      </w:pPr>
      <w:r>
        <w:rPr>
          <w:rFonts w:hint="eastAsia"/>
        </w:rPr>
        <w:t>3. 所有部分评分完成后，由裁判长指定2名评分裁判，进行所有分数复查确认，最终生成参赛队总成绩表，由裁判长签字确认后，将工作任务书、现场记录表、确认表等相关纸质文档移交执委会。</w:t>
      </w:r>
      <w:r>
        <w:rPr>
          <w:rFonts w:hint="eastAsia" w:ascii="宋体" w:hAnsi="宋体" w:cs="宋体"/>
        </w:rPr>
        <w:t> </w:t>
      </w:r>
    </w:p>
    <w:p>
      <w:pPr>
        <w:pStyle w:val="49"/>
        <w:spacing w:line="560" w:lineRule="exact"/>
        <w:rPr>
          <w:rFonts w:hint="eastAsia"/>
        </w:rPr>
      </w:pPr>
      <w:r>
        <w:rPr>
          <w:rFonts w:hint="eastAsia"/>
        </w:rPr>
        <w:t>4. 评分中所有涂改处均需向裁判长说明并备案；在复查中发现的问题均需向裁判长说明并备案。</w:t>
      </w:r>
      <w:r>
        <w:rPr>
          <w:rFonts w:hint="eastAsia" w:ascii="宋体" w:hAnsi="宋体" w:cs="宋体"/>
        </w:rPr>
        <w:t> </w:t>
      </w:r>
    </w:p>
    <w:p>
      <w:pPr>
        <w:pStyle w:val="49"/>
        <w:spacing w:line="560" w:lineRule="exact"/>
        <w:rPr>
          <w:rFonts w:hint="eastAsia"/>
        </w:rPr>
      </w:pPr>
      <w:r>
        <w:rPr>
          <w:rFonts w:hint="eastAsia"/>
        </w:rPr>
        <w:t>5. 参赛队的最终名次按比赛成绩从高到低排列。比赛成绩与完成比赛任务的用时不挂钩。</w:t>
      </w:r>
    </w:p>
    <w:p>
      <w:pPr>
        <w:pStyle w:val="49"/>
        <w:spacing w:line="560" w:lineRule="exact"/>
        <w:rPr>
          <w:rFonts w:hint="eastAsia"/>
        </w:rPr>
      </w:pPr>
      <w:r>
        <w:rPr>
          <w:rFonts w:hint="eastAsia"/>
        </w:rPr>
        <w:t>（二）评分流程</w:t>
      </w:r>
    </w:p>
    <w:p>
      <w:pPr>
        <w:pStyle w:val="49"/>
        <w:spacing w:line="560" w:lineRule="exact"/>
        <w:rPr>
          <w:rFonts w:hint="eastAsia"/>
        </w:rPr>
      </w:pPr>
      <w:r>
        <w:rPr>
          <w:rFonts w:hint="eastAsia"/>
        </w:rPr>
        <w:t>1. 第一组加密裁判组织第一次抽签，产生参赛编号，替换选手参赛证等个人身份信息。</w:t>
      </w:r>
    </w:p>
    <w:p>
      <w:pPr>
        <w:pStyle w:val="49"/>
        <w:spacing w:line="560" w:lineRule="exact"/>
        <w:rPr>
          <w:rFonts w:hint="eastAsia"/>
        </w:rPr>
      </w:pPr>
      <w:r>
        <w:rPr>
          <w:rFonts w:hint="eastAsia"/>
        </w:rPr>
        <w:t>2. 第二组加密裁判组织第二次抽签，确定赛位号，替换选手参赛编号。赛位号不对外公布。</w:t>
      </w:r>
    </w:p>
    <w:p>
      <w:pPr>
        <w:pStyle w:val="49"/>
        <w:spacing w:line="560" w:lineRule="exact"/>
        <w:rPr>
          <w:rFonts w:hint="eastAsia"/>
        </w:rPr>
      </w:pPr>
      <w:r>
        <w:rPr>
          <w:rFonts w:hint="eastAsia"/>
        </w:rPr>
        <w:t>3. 参赛队按照抽签确定的赛位号在对应的赛位上完成竞赛规定的工作任务。</w:t>
      </w:r>
    </w:p>
    <w:p>
      <w:pPr>
        <w:pStyle w:val="49"/>
        <w:spacing w:line="560" w:lineRule="exact"/>
        <w:rPr>
          <w:rFonts w:hint="eastAsia"/>
        </w:rPr>
      </w:pPr>
      <w:r>
        <w:rPr>
          <w:rFonts w:hint="eastAsia"/>
        </w:rPr>
        <w:t>4. 比赛结束后，第三组加密裁判对答题纸进行密封，并由评分裁判对其评分，之后再由第三组加密裁判对答题纸进行解密封，得到各赛位结果评分部分的成绩。</w:t>
      </w:r>
    </w:p>
    <w:p>
      <w:pPr>
        <w:pStyle w:val="49"/>
        <w:spacing w:line="560" w:lineRule="exact"/>
        <w:rPr>
          <w:rFonts w:hint="eastAsia"/>
        </w:rPr>
      </w:pPr>
      <w:r>
        <w:rPr>
          <w:rFonts w:hint="eastAsia"/>
        </w:rPr>
        <w:t>5. 机考评分部分的完成状态与得分在大屏幕显示，并由裁判记录，得到各赛位机考评分部分的成绩。</w:t>
      </w:r>
    </w:p>
    <w:p>
      <w:pPr>
        <w:pStyle w:val="49"/>
        <w:spacing w:line="560" w:lineRule="exact"/>
        <w:rPr>
          <w:rFonts w:hint="eastAsia"/>
        </w:rPr>
      </w:pPr>
      <w:r>
        <w:rPr>
          <w:rFonts w:hint="eastAsia"/>
        </w:rPr>
        <w:t>6. 评分裁判将各赛位结果评分部分的成绩与机考评分部分的成绩相加，得到各赛位的最终成绩。</w:t>
      </w:r>
    </w:p>
    <w:p>
      <w:pPr>
        <w:pStyle w:val="49"/>
        <w:spacing w:line="560" w:lineRule="exact"/>
        <w:rPr>
          <w:rFonts w:hint="eastAsia"/>
        </w:rPr>
      </w:pPr>
      <w:r>
        <w:rPr>
          <w:rFonts w:hint="eastAsia"/>
        </w:rPr>
        <w:t>7. 第二组加密裁判对赛位号进行解密，得到参赛编号及其对应成绩。</w:t>
      </w:r>
    </w:p>
    <w:p>
      <w:pPr>
        <w:pStyle w:val="49"/>
        <w:spacing w:line="560" w:lineRule="exact"/>
        <w:rPr>
          <w:rFonts w:hint="eastAsia"/>
        </w:rPr>
      </w:pPr>
      <w:r>
        <w:rPr>
          <w:rFonts w:hint="eastAsia"/>
        </w:rPr>
        <w:t>8. 第一组加密裁判对参赛编号进行解密，得到各参赛队成绩。</w:t>
      </w:r>
    </w:p>
    <w:p>
      <w:pPr>
        <w:pStyle w:val="49"/>
        <w:spacing w:line="560" w:lineRule="exact"/>
        <w:rPr>
          <w:rFonts w:hint="eastAsia" w:cs="宋体"/>
          <w:color w:val="000000"/>
        </w:rPr>
      </w:pPr>
      <w:r>
        <w:rPr>
          <w:rFonts w:hint="eastAsia"/>
        </w:rPr>
        <w:t>（三）评分标准</w:t>
      </w:r>
    </w:p>
    <w:p>
      <w:pPr>
        <w:pStyle w:val="49"/>
        <w:spacing w:line="560" w:lineRule="exact"/>
        <w:rPr>
          <w:rFonts w:hint="eastAsia"/>
        </w:rPr>
      </w:pPr>
      <w:r>
        <w:rPr>
          <w:rFonts w:hint="eastAsia"/>
        </w:rPr>
        <w:t>评分标准由专家组制定，综合考察参赛选手对LTE无线接入网、承载网及核心网的组网规划、业务开通、综合联调与故障排查的能力。</w:t>
      </w:r>
    </w:p>
    <w:p>
      <w:pPr>
        <w:pStyle w:val="49"/>
        <w:spacing w:line="560" w:lineRule="exact"/>
        <w:rPr>
          <w:rFonts w:hint="eastAsia"/>
        </w:rPr>
      </w:pPr>
      <w:r>
        <w:rPr>
          <w:rFonts w:hint="eastAsia"/>
        </w:rPr>
        <w:t>本次竞赛分为三部分，三部分得分总和为参赛队得分，按照得分从高到低排定名次。</w:t>
      </w:r>
    </w:p>
    <w:p>
      <w:pPr>
        <w:pStyle w:val="43"/>
        <w:ind w:firstLine="482"/>
        <w:jc w:val="center"/>
        <w:rPr>
          <w:rFonts w:hint="eastAsia" w:cs="Times New Roman"/>
          <w:b/>
          <w:bCs/>
          <w:snapToGrid w:val="0"/>
          <w:sz w:val="24"/>
          <w:szCs w:val="24"/>
        </w:rPr>
      </w:pPr>
      <w:r>
        <w:rPr>
          <w:rFonts w:hint="eastAsia" w:cs="Times New Roman"/>
          <w:b/>
          <w:bCs/>
          <w:snapToGrid w:val="0"/>
          <w:sz w:val="24"/>
          <w:szCs w:val="24"/>
        </w:rPr>
        <w:t>表4 赛项的评分标准</w:t>
      </w:r>
    </w:p>
    <w:tbl>
      <w:tblPr>
        <w:tblStyle w:val="21"/>
        <w:tblW w:w="7792" w:type="dxa"/>
        <w:jc w:val="center"/>
        <w:tblInd w:w="-1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47"/>
        <w:gridCol w:w="3802"/>
        <w:gridCol w:w="1844"/>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7" w:hRule="atLeast"/>
          <w:jc w:val="center"/>
        </w:trPr>
        <w:tc>
          <w:tcPr>
            <w:tcW w:w="1347" w:type="dxa"/>
            <w:vAlign w:val="center"/>
          </w:tcPr>
          <w:p>
            <w:pPr>
              <w:widowControl w:val="0"/>
              <w:tabs>
                <w:tab w:val="left" w:pos="1985"/>
              </w:tabs>
              <w:wordWrap/>
              <w:adjustRightInd/>
              <w:snapToGrid/>
              <w:spacing w:line="240" w:lineRule="auto"/>
              <w:ind w:left="0" w:leftChars="0" w:right="0" w:firstLine="0" w:firstLineChars="0"/>
              <w:jc w:val="center"/>
              <w:textAlignment w:val="auto"/>
              <w:outlineLvl w:val="9"/>
              <w:rPr>
                <w:rFonts w:hint="eastAsia" w:ascii="仿宋_GB2312" w:hAnsi="宋体" w:eastAsia="仿宋_GB2312"/>
                <w:b/>
                <w:sz w:val="24"/>
                <w:szCs w:val="24"/>
              </w:rPr>
            </w:pPr>
            <w:r>
              <w:rPr>
                <w:rFonts w:hint="eastAsia" w:ascii="仿宋_GB2312" w:hAnsi="宋体" w:eastAsia="仿宋_GB2312"/>
                <w:b/>
                <w:sz w:val="24"/>
                <w:szCs w:val="24"/>
              </w:rPr>
              <w:t>竞赛内容</w:t>
            </w:r>
          </w:p>
        </w:tc>
        <w:tc>
          <w:tcPr>
            <w:tcW w:w="3802" w:type="dxa"/>
            <w:vAlign w:val="top"/>
          </w:tcPr>
          <w:p>
            <w:pPr>
              <w:widowControl w:val="0"/>
              <w:tabs>
                <w:tab w:val="left" w:pos="1985"/>
              </w:tabs>
              <w:wordWrap/>
              <w:adjustRightInd/>
              <w:snapToGrid/>
              <w:spacing w:line="240" w:lineRule="auto"/>
              <w:ind w:left="0" w:leftChars="0" w:right="0" w:firstLine="0" w:firstLineChars="0"/>
              <w:jc w:val="center"/>
              <w:textAlignment w:val="auto"/>
              <w:outlineLvl w:val="9"/>
              <w:rPr>
                <w:rFonts w:hint="eastAsia" w:ascii="仿宋_GB2312" w:hAnsi="宋体" w:eastAsia="仿宋_GB2312"/>
                <w:b/>
                <w:sz w:val="24"/>
                <w:szCs w:val="24"/>
              </w:rPr>
            </w:pPr>
            <w:r>
              <w:rPr>
                <w:rFonts w:hint="eastAsia" w:ascii="仿宋_GB2312" w:hAnsi="宋体" w:eastAsia="仿宋_GB2312"/>
                <w:b/>
                <w:sz w:val="24"/>
                <w:szCs w:val="24"/>
              </w:rPr>
              <w:t>竞赛内容介绍</w:t>
            </w:r>
          </w:p>
        </w:tc>
        <w:tc>
          <w:tcPr>
            <w:tcW w:w="1844" w:type="dxa"/>
            <w:vAlign w:val="center"/>
          </w:tcPr>
          <w:p>
            <w:pPr>
              <w:widowControl w:val="0"/>
              <w:tabs>
                <w:tab w:val="left" w:pos="1985"/>
              </w:tabs>
              <w:wordWrap/>
              <w:adjustRightInd/>
              <w:snapToGrid/>
              <w:spacing w:line="240" w:lineRule="auto"/>
              <w:ind w:left="0" w:leftChars="0" w:right="0" w:firstLine="0" w:firstLineChars="0"/>
              <w:jc w:val="center"/>
              <w:textAlignment w:val="auto"/>
              <w:outlineLvl w:val="9"/>
              <w:rPr>
                <w:rFonts w:hint="eastAsia" w:ascii="仿宋_GB2312" w:hAnsi="宋体" w:eastAsia="仿宋_GB2312"/>
                <w:b/>
                <w:sz w:val="24"/>
                <w:szCs w:val="24"/>
              </w:rPr>
            </w:pPr>
            <w:r>
              <w:rPr>
                <w:rFonts w:hint="eastAsia" w:ascii="仿宋_GB2312" w:hAnsi="宋体" w:eastAsia="仿宋_GB2312"/>
                <w:b/>
                <w:sz w:val="24"/>
                <w:szCs w:val="24"/>
              </w:rPr>
              <w:t>说 明</w:t>
            </w:r>
          </w:p>
        </w:tc>
        <w:tc>
          <w:tcPr>
            <w:tcW w:w="799" w:type="dxa"/>
            <w:vAlign w:val="center"/>
          </w:tcPr>
          <w:p>
            <w:pPr>
              <w:widowControl w:val="0"/>
              <w:tabs>
                <w:tab w:val="left" w:pos="1985"/>
              </w:tabs>
              <w:wordWrap/>
              <w:adjustRightInd/>
              <w:snapToGrid/>
              <w:spacing w:line="240" w:lineRule="auto"/>
              <w:ind w:left="0" w:leftChars="0" w:right="0" w:firstLine="0" w:firstLineChars="0"/>
              <w:jc w:val="center"/>
              <w:textAlignment w:val="auto"/>
              <w:outlineLvl w:val="9"/>
              <w:rPr>
                <w:rFonts w:hint="eastAsia" w:ascii="仿宋_GB2312" w:hAnsi="宋体" w:eastAsia="仿宋_GB2312"/>
                <w:b/>
                <w:sz w:val="24"/>
                <w:szCs w:val="24"/>
              </w:rPr>
            </w:pPr>
            <w:r>
              <w:rPr>
                <w:rFonts w:hint="eastAsia" w:ascii="仿宋_GB2312" w:hAnsi="宋体" w:eastAsia="仿宋_GB2312"/>
                <w:b/>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 w:hRule="atLeast"/>
          <w:jc w:val="center"/>
        </w:trPr>
        <w:tc>
          <w:tcPr>
            <w:tcW w:w="1347" w:type="dxa"/>
            <w:vAlign w:val="center"/>
          </w:tcPr>
          <w:p>
            <w:pPr>
              <w:widowControl w:val="0"/>
              <w:tabs>
                <w:tab w:val="left" w:pos="1985"/>
              </w:tabs>
              <w:wordWrap/>
              <w:adjustRightInd/>
              <w:snapToGrid/>
              <w:spacing w:line="240" w:lineRule="auto"/>
              <w:ind w:left="0" w:leftChars="0" w:right="0" w:firstLine="0" w:firstLineChars="0"/>
              <w:jc w:val="left"/>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理论考试</w:t>
            </w:r>
          </w:p>
        </w:tc>
        <w:tc>
          <w:tcPr>
            <w:tcW w:w="3802" w:type="dxa"/>
            <w:vAlign w:val="top"/>
          </w:tcPr>
          <w:p>
            <w:pPr>
              <w:widowControl w:val="0"/>
              <w:tabs>
                <w:tab w:val="left" w:pos="1985"/>
              </w:tabs>
              <w:wordWrap/>
              <w:adjustRightInd/>
              <w:snapToGrid/>
              <w:spacing w:line="240" w:lineRule="auto"/>
              <w:ind w:left="0" w:leftChars="0" w:right="0" w:firstLine="0" w:firstLineChars="0"/>
              <w:jc w:val="left"/>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包括移动通信基础知识、4G LTE/EPC基本原理与协议规范、4G全网设备的拓扑规划、容量规划、硬件配置及连线、设备的开通维护及故障排查、工程规范等。</w:t>
            </w:r>
          </w:p>
        </w:tc>
        <w:tc>
          <w:tcPr>
            <w:tcW w:w="1844" w:type="dxa"/>
            <w:vAlign w:val="center"/>
          </w:tcPr>
          <w:p>
            <w:pPr>
              <w:widowControl w:val="0"/>
              <w:wordWrap/>
              <w:adjustRightInd/>
              <w:snapToGrid/>
              <w:spacing w:line="240" w:lineRule="auto"/>
              <w:ind w:left="0" w:leftChars="0" w:right="0" w:firstLine="0" w:firstLineChars="0"/>
              <w:jc w:val="left"/>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考核4G移动通信网络相关理论掌握程度</w:t>
            </w:r>
          </w:p>
        </w:tc>
        <w:tc>
          <w:tcPr>
            <w:tcW w:w="799"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5" w:hRule="atLeast"/>
          <w:jc w:val="center"/>
        </w:trPr>
        <w:tc>
          <w:tcPr>
            <w:tcW w:w="1347" w:type="dxa"/>
            <w:vAlign w:val="center"/>
          </w:tcPr>
          <w:p>
            <w:pPr>
              <w:widowControl w:val="0"/>
              <w:tabs>
                <w:tab w:val="left" w:pos="1985"/>
              </w:tabs>
              <w:wordWrap/>
              <w:adjustRightInd/>
              <w:snapToGrid/>
              <w:spacing w:line="240" w:lineRule="auto"/>
              <w:ind w:left="0" w:leftChars="0" w:right="0" w:firstLine="0" w:firstLineChars="0"/>
              <w:jc w:val="left"/>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4G网络配置与优化</w:t>
            </w:r>
          </w:p>
        </w:tc>
        <w:tc>
          <w:tcPr>
            <w:tcW w:w="3802" w:type="dxa"/>
            <w:vAlign w:val="center"/>
          </w:tcPr>
          <w:p>
            <w:pPr>
              <w:widowControl w:val="0"/>
              <w:wordWrap/>
              <w:adjustRightInd/>
              <w:snapToGrid/>
              <w:spacing w:line="240" w:lineRule="auto"/>
              <w:ind w:left="0" w:leftChars="0" w:right="0" w:firstLine="0" w:firstLineChars="0"/>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 xml:space="preserve">软件中设定一到两个城市4G网络配置数据不全，参赛队根据给定的题设完成如下工作： </w:t>
            </w:r>
          </w:p>
          <w:p>
            <w:pPr>
              <w:widowControl w:val="0"/>
              <w:wordWrap/>
              <w:adjustRightInd/>
              <w:snapToGrid/>
              <w:spacing w:line="240" w:lineRule="auto"/>
              <w:ind w:left="0" w:leftChars="0" w:right="0" w:firstLine="0" w:firstLineChars="0"/>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（1）根据给出的网络参数，完成容量计算；</w:t>
            </w:r>
          </w:p>
          <w:p>
            <w:pPr>
              <w:widowControl w:val="0"/>
              <w:wordWrap/>
              <w:adjustRightInd/>
              <w:snapToGrid/>
              <w:spacing w:line="240" w:lineRule="auto"/>
              <w:ind w:left="0" w:leftChars="0" w:right="0" w:firstLine="0" w:firstLineChars="0"/>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（2）将网络中缺失的数据补全，确保承载网端到端连通，实现4G基本业务及切换的测试。</w:t>
            </w:r>
          </w:p>
        </w:tc>
        <w:tc>
          <w:tcPr>
            <w:tcW w:w="1844" w:type="dxa"/>
            <w:vAlign w:val="center"/>
          </w:tcPr>
          <w:p>
            <w:pPr>
              <w:widowControl w:val="0"/>
              <w:wordWrap/>
              <w:adjustRightInd/>
              <w:snapToGrid/>
              <w:spacing w:line="240" w:lineRule="auto"/>
              <w:ind w:left="0" w:leftChars="0" w:right="0" w:firstLine="0" w:firstLineChars="0"/>
              <w:jc w:val="left"/>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考察无线接入网、核心网、承载网的网络配置与优化能力</w:t>
            </w:r>
          </w:p>
        </w:tc>
        <w:tc>
          <w:tcPr>
            <w:tcW w:w="799"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8" w:hRule="atLeast"/>
          <w:jc w:val="center"/>
        </w:trPr>
        <w:tc>
          <w:tcPr>
            <w:tcW w:w="1347" w:type="dxa"/>
            <w:vAlign w:val="center"/>
          </w:tcPr>
          <w:p>
            <w:pPr>
              <w:widowControl w:val="0"/>
              <w:tabs>
                <w:tab w:val="left" w:pos="1985"/>
              </w:tabs>
              <w:wordWrap/>
              <w:adjustRightInd/>
              <w:snapToGrid/>
              <w:spacing w:line="240" w:lineRule="auto"/>
              <w:ind w:left="0" w:leftChars="0" w:right="0" w:firstLine="0" w:firstLineChars="0"/>
              <w:jc w:val="left"/>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4G网络故障排除</w:t>
            </w:r>
          </w:p>
        </w:tc>
        <w:tc>
          <w:tcPr>
            <w:tcW w:w="3802" w:type="dxa"/>
            <w:vAlign w:val="center"/>
          </w:tcPr>
          <w:p>
            <w:pPr>
              <w:widowControl w:val="0"/>
              <w:wordWrap/>
              <w:adjustRightInd/>
              <w:snapToGrid/>
              <w:spacing w:line="240" w:lineRule="auto"/>
              <w:ind w:left="0" w:leftChars="0" w:right="0" w:firstLine="0" w:firstLineChars="0"/>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软件中设定一到两个城市4G网络配置存在若干处错误，导致4G业务测试失败，参赛队根据给定的题设完成如下工作：</w:t>
            </w:r>
          </w:p>
          <w:p>
            <w:pPr>
              <w:widowControl w:val="0"/>
              <w:wordWrap/>
              <w:adjustRightInd/>
              <w:snapToGrid/>
              <w:spacing w:line="240" w:lineRule="auto"/>
              <w:ind w:left="0" w:leftChars="0" w:right="0" w:firstLine="0" w:firstLineChars="0"/>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（1）排查并更正影响业务测试的故障点，并完成业务拨测；</w:t>
            </w:r>
          </w:p>
          <w:p>
            <w:pPr>
              <w:widowControl w:val="0"/>
              <w:wordWrap/>
              <w:adjustRightInd/>
              <w:snapToGrid/>
              <w:spacing w:line="240" w:lineRule="auto"/>
              <w:ind w:left="0" w:leftChars="0" w:right="0" w:firstLine="0" w:firstLineChars="0"/>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（2）排查并更正网络中存在的其他故障点。</w:t>
            </w:r>
          </w:p>
        </w:tc>
        <w:tc>
          <w:tcPr>
            <w:tcW w:w="1844" w:type="dxa"/>
            <w:vAlign w:val="center"/>
          </w:tcPr>
          <w:p>
            <w:pPr>
              <w:widowControl w:val="0"/>
              <w:wordWrap/>
              <w:adjustRightInd/>
              <w:snapToGrid/>
              <w:spacing w:line="240" w:lineRule="auto"/>
              <w:ind w:left="0" w:leftChars="0" w:right="0" w:firstLine="0" w:firstLineChars="0"/>
              <w:jc w:val="left"/>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考察无线接入网、核心网、承载网的网络故障分析与排错能力</w:t>
            </w:r>
          </w:p>
        </w:tc>
        <w:tc>
          <w:tcPr>
            <w:tcW w:w="799"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宋体" w:eastAsia="仿宋_GB2312"/>
                <w:bCs/>
                <w:snapToGrid w:val="0"/>
                <w:kern w:val="0"/>
                <w:sz w:val="24"/>
                <w:szCs w:val="24"/>
              </w:rPr>
            </w:pPr>
            <w:r>
              <w:rPr>
                <w:rFonts w:hint="eastAsia" w:ascii="仿宋_GB2312" w:hAnsi="宋体" w:eastAsia="仿宋_GB2312"/>
                <w:bCs/>
                <w:snapToGrid w:val="0"/>
                <w:kern w:val="0"/>
                <w:sz w:val="24"/>
                <w:szCs w:val="24"/>
              </w:rPr>
              <w:t>50%</w:t>
            </w:r>
          </w:p>
        </w:tc>
      </w:tr>
    </w:tbl>
    <w:p>
      <w:pPr>
        <w:pStyle w:val="49"/>
        <w:spacing w:line="560" w:lineRule="exact"/>
        <w:rPr>
          <w:rFonts w:hint="eastAsia"/>
        </w:rPr>
      </w:pPr>
      <w:r>
        <w:rPr>
          <w:rFonts w:hint="eastAsia"/>
        </w:rPr>
        <w:t>（四）评分细则</w:t>
      </w:r>
    </w:p>
    <w:p>
      <w:pPr>
        <w:pStyle w:val="49"/>
        <w:spacing w:line="560" w:lineRule="exact"/>
        <w:rPr>
          <w:rFonts w:hint="eastAsia"/>
          <w:color w:val="000000"/>
        </w:rPr>
      </w:pPr>
      <w:r>
        <w:rPr>
          <w:rFonts w:hint="eastAsia"/>
          <w:color w:val="000000"/>
        </w:rPr>
        <w:t>竞赛赛题的评分细则由竞赛执委会和命题专家共同制定，在赛前一个月随比赛样题公布。</w:t>
      </w:r>
    </w:p>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十二、奖项设定</w:t>
      </w:r>
    </w:p>
    <w:p>
      <w:pPr>
        <w:pStyle w:val="49"/>
        <w:spacing w:line="560" w:lineRule="exact"/>
        <w:rPr>
          <w:rFonts w:hint="eastAsia"/>
        </w:rPr>
      </w:pPr>
      <w:r>
        <w:rPr>
          <w:rFonts w:hint="eastAsia"/>
        </w:rPr>
        <w:t>以参赛队总数为基数，一、二、三等奖获奖比例分别为10%、20%、30%（小数点后四舍五入）。获得一等奖的参赛队的指导教师由组委会颁发优秀指导教师证书。</w:t>
      </w:r>
    </w:p>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十三、赛项安全</w:t>
      </w:r>
    </w:p>
    <w:p>
      <w:pPr>
        <w:pStyle w:val="49"/>
        <w:spacing w:line="560" w:lineRule="exact"/>
        <w:rPr>
          <w:rFonts w:hint="eastAsia"/>
        </w:rPr>
      </w:pPr>
      <w:r>
        <w:rPr>
          <w:rFonts w:hint="eastAsia"/>
        </w:rPr>
        <w:t>（一）安保工作</w:t>
      </w:r>
    </w:p>
    <w:p>
      <w:pPr>
        <w:pStyle w:val="49"/>
        <w:spacing w:line="560" w:lineRule="exact"/>
        <w:rPr>
          <w:rFonts w:hint="eastAsia"/>
        </w:rPr>
      </w:pPr>
      <w:r>
        <w:rPr>
          <w:rFonts w:hint="eastAsia"/>
        </w:rPr>
        <w:t>设立安全保障小组，承办校保卫处参加，明确安全保障责任人和负责人，制定详细安全保障制度和保障预案。具体制度如下：</w:t>
      </w:r>
    </w:p>
    <w:p>
      <w:pPr>
        <w:pStyle w:val="49"/>
        <w:spacing w:line="560" w:lineRule="exact"/>
        <w:rPr>
          <w:rFonts w:hint="eastAsia"/>
        </w:rPr>
      </w:pPr>
      <w:r>
        <w:rPr>
          <w:rFonts w:hint="eastAsia"/>
        </w:rPr>
        <w:t>1. 保证各通道畅通，并配备专门人员，控制无关人员进入场地，控制人员流量和赛场观众饱和度，贴好安全指示标识等。</w:t>
      </w:r>
    </w:p>
    <w:p>
      <w:pPr>
        <w:pStyle w:val="49"/>
        <w:spacing w:line="560" w:lineRule="exact"/>
        <w:rPr>
          <w:rFonts w:hint="eastAsia"/>
        </w:rPr>
      </w:pPr>
      <w:r>
        <w:rPr>
          <w:rFonts w:hint="eastAsia"/>
        </w:rPr>
        <w:t>2. 对于社会观众，安全保障小组适当进行合法、合理的询问检查，对携带可疑物品，又拒绝询问检查的观众，安全保障小组将禁止其入内。</w:t>
      </w:r>
    </w:p>
    <w:p>
      <w:pPr>
        <w:pStyle w:val="49"/>
        <w:spacing w:line="560" w:lineRule="exact"/>
        <w:rPr>
          <w:rFonts w:hint="eastAsia"/>
        </w:rPr>
      </w:pPr>
      <w:r>
        <w:rPr>
          <w:rFonts w:hint="eastAsia"/>
        </w:rPr>
        <w:t>3. 安全保障小组随时对赛场进行巡查、监督，确保安全。</w:t>
      </w:r>
    </w:p>
    <w:p>
      <w:pPr>
        <w:pStyle w:val="49"/>
        <w:spacing w:line="560" w:lineRule="exact"/>
        <w:rPr>
          <w:rFonts w:hint="eastAsia"/>
        </w:rPr>
      </w:pPr>
      <w:r>
        <w:rPr>
          <w:rFonts w:hint="eastAsia"/>
        </w:rPr>
        <w:t>4. 配备必要的医护人员和医疗药品，有应急抢救预案。</w:t>
      </w:r>
    </w:p>
    <w:p>
      <w:pPr>
        <w:pStyle w:val="49"/>
        <w:spacing w:line="560" w:lineRule="exact"/>
        <w:rPr>
          <w:rFonts w:hint="eastAsia"/>
        </w:rPr>
      </w:pPr>
      <w:r>
        <w:rPr>
          <w:rFonts w:hint="eastAsia"/>
        </w:rPr>
        <w:t>5. 为确保比赛的顺利举行，要求所有参赛人员必须凭组委会印发的有效证件进入场地，与比赛无关人员严禁进入比赛场地，不得以任何方式干扰比赛正常进行。</w:t>
      </w:r>
    </w:p>
    <w:p>
      <w:pPr>
        <w:pStyle w:val="49"/>
        <w:spacing w:line="560" w:lineRule="exact"/>
        <w:rPr>
          <w:rFonts w:hint="eastAsia"/>
        </w:rPr>
      </w:pPr>
      <w:r>
        <w:rPr>
          <w:rFonts w:hint="eastAsia"/>
        </w:rPr>
        <w:t>6. 严格控制与参赛无关的易燃易爆以及各类危险品进入比赛场地，不允许随便携带包裹进入赛场。</w:t>
      </w:r>
    </w:p>
    <w:p>
      <w:pPr>
        <w:pStyle w:val="49"/>
        <w:spacing w:line="560" w:lineRule="exact"/>
        <w:rPr>
          <w:rFonts w:hint="eastAsia"/>
        </w:rPr>
      </w:pPr>
      <w:r>
        <w:rPr>
          <w:rFonts w:hint="eastAsia"/>
        </w:rPr>
        <w:t>7. 比赛现场需进行网络安全控制，以免场内外信息交互，充分体现大赛的严肃、公平和公正性。</w:t>
      </w:r>
    </w:p>
    <w:p>
      <w:pPr>
        <w:pStyle w:val="49"/>
        <w:spacing w:line="560" w:lineRule="exact"/>
        <w:rPr>
          <w:rFonts w:hint="eastAsia"/>
        </w:rPr>
      </w:pPr>
      <w:r>
        <w:rPr>
          <w:rFonts w:hint="eastAsia"/>
        </w:rPr>
        <w:t>8. 严禁任何人在比赛场地私拉各种电源线。</w:t>
      </w:r>
    </w:p>
    <w:p>
      <w:pPr>
        <w:pStyle w:val="49"/>
        <w:spacing w:line="560" w:lineRule="exact"/>
        <w:rPr>
          <w:rFonts w:hint="eastAsia"/>
        </w:rPr>
      </w:pPr>
      <w:r>
        <w:rPr>
          <w:rFonts w:hint="eastAsia"/>
        </w:rPr>
        <w:t>9. 设置突发事件应急疏散示意图。</w:t>
      </w:r>
    </w:p>
    <w:p>
      <w:pPr>
        <w:pStyle w:val="49"/>
        <w:spacing w:line="560" w:lineRule="exact"/>
        <w:rPr>
          <w:rFonts w:hint="eastAsia"/>
        </w:rPr>
      </w:pPr>
      <w:r>
        <w:rPr>
          <w:rFonts w:hint="eastAsia"/>
        </w:rPr>
        <w:t>（二）赛场文明</w:t>
      </w:r>
    </w:p>
    <w:p>
      <w:pPr>
        <w:pStyle w:val="49"/>
        <w:spacing w:line="560" w:lineRule="exact"/>
        <w:rPr>
          <w:rFonts w:hint="eastAsia"/>
        </w:rPr>
      </w:pPr>
      <w:r>
        <w:rPr>
          <w:rFonts w:hint="eastAsia"/>
        </w:rPr>
        <w:t>1. 进入赛场人员要严格遵守赛场秩序，服从赛场工作人员的引导和安排。观摩人员要按指定区域观摩，切忌越过设置的警戒线。</w:t>
      </w:r>
    </w:p>
    <w:p>
      <w:pPr>
        <w:pStyle w:val="49"/>
        <w:spacing w:line="560" w:lineRule="exact"/>
        <w:rPr>
          <w:rFonts w:hint="eastAsia"/>
        </w:rPr>
      </w:pPr>
      <w:r>
        <w:rPr>
          <w:rFonts w:hint="eastAsia"/>
        </w:rPr>
        <w:t>2. 在赛场观摩比赛时，不要大声喧哗，不要拥挤推搡，以免影响比赛正常进行。</w:t>
      </w:r>
    </w:p>
    <w:p>
      <w:pPr>
        <w:pStyle w:val="49"/>
        <w:spacing w:line="560" w:lineRule="exact"/>
        <w:rPr>
          <w:rFonts w:hint="eastAsia"/>
        </w:rPr>
      </w:pPr>
      <w:r>
        <w:rPr>
          <w:rFonts w:hint="eastAsia"/>
        </w:rPr>
        <w:t>3. 赛场内严禁吸烟，严禁携带易燃易爆物品入场。</w:t>
      </w:r>
    </w:p>
    <w:p>
      <w:pPr>
        <w:pStyle w:val="49"/>
        <w:spacing w:line="560" w:lineRule="exact"/>
        <w:rPr>
          <w:rFonts w:hint="eastAsia"/>
        </w:rPr>
      </w:pPr>
      <w:r>
        <w:rPr>
          <w:rFonts w:hint="eastAsia"/>
        </w:rPr>
        <w:t>4. 进入赛区的人员要爱护现场各类物品，爱护公共环境，不随意张贴个人资料。</w:t>
      </w:r>
    </w:p>
    <w:p>
      <w:pPr>
        <w:pStyle w:val="49"/>
        <w:spacing w:line="560" w:lineRule="exact"/>
        <w:rPr>
          <w:rFonts w:hint="eastAsia"/>
        </w:rPr>
      </w:pPr>
      <w:r>
        <w:rPr>
          <w:rFonts w:hint="eastAsia"/>
        </w:rPr>
        <w:t>5. 遇到问题和意外事件及时向现场工作人员咨询以寻求帮助。</w:t>
      </w:r>
    </w:p>
    <w:p>
      <w:pPr>
        <w:pStyle w:val="49"/>
        <w:spacing w:line="560" w:lineRule="exact"/>
        <w:rPr>
          <w:rFonts w:hint="eastAsia"/>
        </w:rPr>
      </w:pPr>
      <w:r>
        <w:rPr>
          <w:rFonts w:hint="eastAsia"/>
        </w:rPr>
        <w:t>6. 发生火灾或突发事件时，要服从赛场工作人员指挥，有序撤离现场，避免慌乱</w:t>
      </w:r>
      <w:r>
        <w:rPr>
          <w:rFonts w:hint="eastAsia"/>
          <w:color w:val="FF0000"/>
        </w:rPr>
        <w:t>、</w:t>
      </w:r>
      <w:r>
        <w:rPr>
          <w:rFonts w:hint="eastAsia"/>
        </w:rPr>
        <w:t>踩踏伤人。</w:t>
      </w:r>
    </w:p>
    <w:p>
      <w:pPr>
        <w:pStyle w:val="49"/>
        <w:spacing w:line="560" w:lineRule="exact"/>
        <w:rPr>
          <w:rFonts w:hint="eastAsia"/>
        </w:rPr>
      </w:pPr>
      <w:r>
        <w:rPr>
          <w:rFonts w:hint="eastAsia"/>
        </w:rPr>
        <w:t>7. 参赛人员应积极配合卫生防疫部门的检测，如有发热等症状，请及时与大赛医疗卫生组联系。</w:t>
      </w:r>
    </w:p>
    <w:p>
      <w:pPr>
        <w:pStyle w:val="49"/>
        <w:spacing w:line="560" w:lineRule="exact"/>
        <w:rPr>
          <w:rFonts w:hint="eastAsia"/>
        </w:rPr>
      </w:pPr>
      <w:r>
        <w:rPr>
          <w:rFonts w:hint="eastAsia"/>
        </w:rPr>
        <w:t>8. 遇到紧急情况发生拥挤时，应保持镇静，在相对安全地点作短暂停留。人群拥挤时，要双手抱住胸口，防止内脏被挤压受伤。在人群中不小心跌倒时，应立即收缩身体，紧抱头部，尽量减少伤害。</w:t>
      </w:r>
    </w:p>
    <w:p>
      <w:pPr>
        <w:pStyle w:val="49"/>
        <w:spacing w:line="560" w:lineRule="exact"/>
        <w:rPr>
          <w:rFonts w:hint="eastAsia"/>
        </w:rPr>
      </w:pPr>
      <w:r>
        <w:rPr>
          <w:rFonts w:hint="eastAsia"/>
        </w:rPr>
        <w:t>9. 如遇特殊情况，服从大赛统一指挥。</w:t>
      </w:r>
    </w:p>
    <w:p>
      <w:pPr>
        <w:pStyle w:val="49"/>
        <w:spacing w:line="560" w:lineRule="exact"/>
        <w:rPr>
          <w:rFonts w:hint="eastAsia"/>
        </w:rPr>
      </w:pPr>
      <w:r>
        <w:rPr>
          <w:rFonts w:hint="eastAsia"/>
        </w:rPr>
        <w:t>（三）应急预案</w:t>
      </w:r>
    </w:p>
    <w:p>
      <w:pPr>
        <w:snapToGrid w:val="0"/>
        <w:spacing w:line="560" w:lineRule="exact"/>
        <w:ind w:firstLine="482" w:firstLineChars="200"/>
        <w:jc w:val="center"/>
        <w:outlineLvl w:val="0"/>
        <w:rPr>
          <w:rFonts w:hint="eastAsia" w:ascii="仿宋_GB2312" w:hAnsi="宋体" w:eastAsia="仿宋_GB2312" w:cs="Arial"/>
          <w:b/>
          <w:kern w:val="0"/>
          <w:sz w:val="24"/>
          <w:szCs w:val="24"/>
        </w:rPr>
      </w:pPr>
      <w:r>
        <w:rPr>
          <w:rFonts w:hint="eastAsia" w:ascii="仿宋_GB2312" w:hAnsi="宋体" w:eastAsia="仿宋_GB2312" w:cs="Arial"/>
          <w:b/>
          <w:kern w:val="0"/>
          <w:sz w:val="24"/>
          <w:szCs w:val="24"/>
        </w:rPr>
        <w:t>表5 应急预案</w:t>
      </w:r>
    </w:p>
    <w:tbl>
      <w:tblPr>
        <w:tblStyle w:val="2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60"/>
        <w:gridCol w:w="326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3" w:hRule="atLeast"/>
        </w:trPr>
        <w:tc>
          <w:tcPr>
            <w:tcW w:w="1560" w:type="dxa"/>
            <w:vAlign w:val="center"/>
          </w:tcPr>
          <w:p>
            <w:pPr>
              <w:pStyle w:val="45"/>
              <w:widowControl w:val="0"/>
              <w:wordWrap/>
              <w:adjustRightInd/>
              <w:snapToGrid/>
              <w:spacing w:line="240" w:lineRule="auto"/>
              <w:ind w:left="0" w:leftChars="0" w:right="0" w:firstLine="0" w:firstLineChars="0"/>
              <w:textAlignment w:val="auto"/>
              <w:outlineLvl w:val="9"/>
              <w:rPr>
                <w:rFonts w:hint="eastAsia" w:ascii="仿宋_GB2312" w:eastAsia="仿宋_GB2312"/>
                <w:b/>
              </w:rPr>
            </w:pPr>
            <w:r>
              <w:rPr>
                <w:rFonts w:hint="eastAsia" w:ascii="仿宋_GB2312" w:eastAsia="仿宋_GB2312"/>
                <w:b/>
              </w:rPr>
              <w:t>突发事件</w:t>
            </w:r>
          </w:p>
        </w:tc>
        <w:tc>
          <w:tcPr>
            <w:tcW w:w="3260" w:type="dxa"/>
            <w:vAlign w:val="center"/>
          </w:tcPr>
          <w:p>
            <w:pPr>
              <w:pStyle w:val="45"/>
              <w:widowControl w:val="0"/>
              <w:wordWrap/>
              <w:adjustRightInd/>
              <w:snapToGrid/>
              <w:spacing w:line="240" w:lineRule="auto"/>
              <w:ind w:left="0" w:leftChars="0" w:right="0" w:firstLine="0" w:firstLineChars="0"/>
              <w:textAlignment w:val="auto"/>
              <w:outlineLvl w:val="9"/>
              <w:rPr>
                <w:rFonts w:hint="eastAsia" w:ascii="仿宋_GB2312" w:eastAsia="仿宋_GB2312"/>
                <w:b/>
              </w:rPr>
            </w:pPr>
            <w:r>
              <w:rPr>
                <w:rFonts w:hint="eastAsia" w:ascii="仿宋_GB2312" w:eastAsia="仿宋_GB2312"/>
                <w:b/>
              </w:rPr>
              <w:t>预防措施</w:t>
            </w:r>
          </w:p>
        </w:tc>
        <w:tc>
          <w:tcPr>
            <w:tcW w:w="3544" w:type="dxa"/>
            <w:vAlign w:val="center"/>
          </w:tcPr>
          <w:p>
            <w:pPr>
              <w:pStyle w:val="45"/>
              <w:widowControl w:val="0"/>
              <w:wordWrap/>
              <w:adjustRightInd/>
              <w:snapToGrid/>
              <w:spacing w:line="240" w:lineRule="auto"/>
              <w:ind w:left="0" w:leftChars="0" w:right="0" w:firstLine="0" w:firstLineChars="0"/>
              <w:textAlignment w:val="auto"/>
              <w:outlineLvl w:val="9"/>
              <w:rPr>
                <w:rFonts w:hint="eastAsia" w:ascii="仿宋_GB2312" w:eastAsia="仿宋_GB2312"/>
                <w:b/>
              </w:rPr>
            </w:pPr>
            <w:r>
              <w:rPr>
                <w:rFonts w:hint="eastAsia" w:ascii="仿宋_GB2312" w:eastAsia="仿宋_GB2312"/>
                <w:b/>
              </w:rPr>
              <w:t>事件发生后应对措施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92" w:hRule="atLeast"/>
        </w:trPr>
        <w:tc>
          <w:tcPr>
            <w:tcW w:w="1560" w:type="dxa"/>
            <w:vAlign w:val="center"/>
          </w:tcPr>
          <w:p>
            <w:pPr>
              <w:pStyle w:val="45"/>
              <w:widowControl w:val="0"/>
              <w:wordWrap/>
              <w:adjustRightInd/>
              <w:snapToGrid/>
              <w:spacing w:line="240" w:lineRule="auto"/>
              <w:ind w:left="0" w:leftChars="0" w:right="0" w:firstLine="0" w:firstLineChars="0"/>
              <w:textAlignment w:val="auto"/>
              <w:outlineLvl w:val="9"/>
              <w:rPr>
                <w:rFonts w:hint="eastAsia" w:ascii="仿宋_GB2312" w:eastAsia="仿宋_GB2312"/>
              </w:rPr>
            </w:pPr>
            <w:r>
              <w:rPr>
                <w:rFonts w:hint="eastAsia" w:ascii="仿宋_GB2312" w:eastAsia="仿宋_GB2312"/>
              </w:rPr>
              <w:t>设备损坏（如不能启动、反复重启等）</w:t>
            </w:r>
          </w:p>
        </w:tc>
        <w:tc>
          <w:tcPr>
            <w:tcW w:w="3260" w:type="dxa"/>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rPr>
            </w:pPr>
            <w:r>
              <w:rPr>
                <w:rFonts w:hint="eastAsia" w:ascii="仿宋_GB2312" w:eastAsia="仿宋_GB2312"/>
              </w:rPr>
              <w:t>提前一天烤机，所有设备开机运行，现场设置备机。</w:t>
            </w:r>
          </w:p>
        </w:tc>
        <w:tc>
          <w:tcPr>
            <w:tcW w:w="3544" w:type="dxa"/>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rPr>
            </w:pPr>
            <w:r>
              <w:rPr>
                <w:rFonts w:hint="eastAsia" w:ascii="仿宋_GB2312" w:eastAsia="仿宋_GB2312"/>
              </w:rPr>
              <w:t>参赛选手举手示意后，现场裁判计时并确认后更换备机，并由裁判长酌情确定应计入延时时间。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6" w:hRule="atLeast"/>
        </w:trPr>
        <w:tc>
          <w:tcPr>
            <w:tcW w:w="1560" w:type="dxa"/>
            <w:vAlign w:val="center"/>
          </w:tcPr>
          <w:p>
            <w:pPr>
              <w:pStyle w:val="45"/>
              <w:widowControl w:val="0"/>
              <w:wordWrap/>
              <w:adjustRightInd/>
              <w:snapToGrid/>
              <w:spacing w:line="240" w:lineRule="auto"/>
              <w:ind w:left="0" w:leftChars="0" w:right="0" w:firstLine="0" w:firstLineChars="0"/>
              <w:textAlignment w:val="auto"/>
              <w:outlineLvl w:val="9"/>
              <w:rPr>
                <w:rFonts w:hint="eastAsia" w:ascii="仿宋_GB2312" w:eastAsia="仿宋_GB2312"/>
              </w:rPr>
            </w:pPr>
            <w:r>
              <w:rPr>
                <w:rFonts w:hint="eastAsia" w:ascii="仿宋_GB2312" w:eastAsia="仿宋_GB2312"/>
              </w:rPr>
              <w:t>设备掉电</w:t>
            </w:r>
          </w:p>
        </w:tc>
        <w:tc>
          <w:tcPr>
            <w:tcW w:w="3260" w:type="dxa"/>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rPr>
            </w:pPr>
            <w:r>
              <w:rPr>
                <w:rFonts w:hint="eastAsia" w:ascii="仿宋_GB2312" w:eastAsia="仿宋_GB2312"/>
              </w:rPr>
              <w:t>竞赛前检查所有电源插头确保牢固，电源线尽量绑扎在碰不到的地方，如桌子后面等。</w:t>
            </w:r>
          </w:p>
        </w:tc>
        <w:tc>
          <w:tcPr>
            <w:tcW w:w="3544" w:type="dxa"/>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rPr>
            </w:pPr>
            <w:r>
              <w:rPr>
                <w:rFonts w:hint="eastAsia" w:ascii="仿宋_GB2312" w:eastAsia="仿宋_GB2312"/>
              </w:rPr>
              <w:t>参赛选手举手示意后，现场裁判计时并确认后重启机器，并由裁判长酌情确定应计入延时的时间。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17" w:hRule="atLeast"/>
        </w:trPr>
        <w:tc>
          <w:tcPr>
            <w:tcW w:w="1560" w:type="dxa"/>
            <w:vAlign w:val="center"/>
          </w:tcPr>
          <w:p>
            <w:pPr>
              <w:pStyle w:val="45"/>
              <w:widowControl w:val="0"/>
              <w:wordWrap/>
              <w:adjustRightInd/>
              <w:snapToGrid/>
              <w:spacing w:line="240" w:lineRule="auto"/>
              <w:ind w:left="0" w:leftChars="0" w:right="0" w:firstLine="0" w:firstLineChars="0"/>
              <w:textAlignment w:val="auto"/>
              <w:outlineLvl w:val="9"/>
              <w:rPr>
                <w:rFonts w:hint="eastAsia" w:ascii="仿宋_GB2312" w:eastAsia="仿宋_GB2312"/>
              </w:rPr>
            </w:pPr>
            <w:r>
              <w:rPr>
                <w:rFonts w:hint="eastAsia" w:ascii="仿宋_GB2312" w:eastAsia="仿宋_GB2312"/>
              </w:rPr>
              <w:t>电缆故障</w:t>
            </w:r>
          </w:p>
        </w:tc>
        <w:tc>
          <w:tcPr>
            <w:tcW w:w="3260" w:type="dxa"/>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rPr>
            </w:pPr>
            <w:r>
              <w:rPr>
                <w:rFonts w:hint="eastAsia" w:ascii="仿宋_GB2312" w:eastAsia="仿宋_GB2312"/>
              </w:rPr>
              <w:t>提前测试并准备备用线缆。</w:t>
            </w:r>
          </w:p>
        </w:tc>
        <w:tc>
          <w:tcPr>
            <w:tcW w:w="3544" w:type="dxa"/>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rPr>
            </w:pPr>
            <w:r>
              <w:rPr>
                <w:rFonts w:hint="eastAsia" w:ascii="仿宋_GB2312" w:eastAsia="仿宋_GB2312"/>
              </w:rPr>
              <w:t>使用备用线缆，并用测线仪现场测试。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83" w:hRule="atLeast"/>
        </w:trPr>
        <w:tc>
          <w:tcPr>
            <w:tcW w:w="1560" w:type="dxa"/>
            <w:vAlign w:val="center"/>
          </w:tcPr>
          <w:p>
            <w:pPr>
              <w:pStyle w:val="45"/>
              <w:widowControl w:val="0"/>
              <w:wordWrap/>
              <w:adjustRightInd/>
              <w:snapToGrid/>
              <w:spacing w:line="240" w:lineRule="auto"/>
              <w:ind w:left="0" w:leftChars="0" w:right="0" w:firstLine="0" w:firstLineChars="0"/>
              <w:textAlignment w:val="auto"/>
              <w:outlineLvl w:val="9"/>
              <w:rPr>
                <w:rFonts w:hint="eastAsia" w:ascii="仿宋_GB2312" w:eastAsia="仿宋_GB2312"/>
              </w:rPr>
            </w:pPr>
            <w:r>
              <w:rPr>
                <w:rFonts w:hint="eastAsia" w:ascii="仿宋_GB2312" w:eastAsia="仿宋_GB2312"/>
              </w:rPr>
              <w:t>现场网络线缆故障</w:t>
            </w:r>
          </w:p>
        </w:tc>
        <w:tc>
          <w:tcPr>
            <w:tcW w:w="3260" w:type="dxa"/>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rPr>
            </w:pPr>
            <w:r>
              <w:rPr>
                <w:rFonts w:hint="eastAsia" w:ascii="仿宋_GB2312" w:eastAsia="仿宋_GB2312"/>
              </w:rPr>
              <w:t>现场走线要规范，尽量走暗槽或现场人员接触不到的地方，对主要线路要在走线槽内留有备用线缆。</w:t>
            </w:r>
          </w:p>
        </w:tc>
        <w:tc>
          <w:tcPr>
            <w:tcW w:w="3544" w:type="dxa"/>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rPr>
            </w:pPr>
            <w:r>
              <w:rPr>
                <w:rFonts w:hint="eastAsia" w:ascii="仿宋_GB2312" w:eastAsia="仿宋_GB2312"/>
              </w:rPr>
              <w:t>启用备用线缆。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5" w:hRule="atLeast"/>
        </w:trPr>
        <w:tc>
          <w:tcPr>
            <w:tcW w:w="1560" w:type="dxa"/>
            <w:vAlign w:val="center"/>
          </w:tcPr>
          <w:p>
            <w:pPr>
              <w:pStyle w:val="45"/>
              <w:widowControl w:val="0"/>
              <w:wordWrap/>
              <w:adjustRightInd/>
              <w:snapToGrid/>
              <w:spacing w:line="240" w:lineRule="auto"/>
              <w:ind w:left="0" w:leftChars="0" w:right="0" w:firstLine="0" w:firstLineChars="0"/>
              <w:textAlignment w:val="auto"/>
              <w:outlineLvl w:val="9"/>
              <w:rPr>
                <w:rFonts w:hint="eastAsia" w:ascii="仿宋_GB2312" w:eastAsia="仿宋_GB2312"/>
              </w:rPr>
            </w:pPr>
            <w:r>
              <w:rPr>
                <w:rFonts w:hint="eastAsia" w:ascii="仿宋_GB2312" w:eastAsia="仿宋_GB2312"/>
              </w:rPr>
              <w:t>开机冲击大电流故障</w:t>
            </w:r>
          </w:p>
        </w:tc>
        <w:tc>
          <w:tcPr>
            <w:tcW w:w="3260" w:type="dxa"/>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rPr>
            </w:pPr>
            <w:r>
              <w:rPr>
                <w:rFonts w:hint="eastAsia" w:ascii="仿宋_GB2312" w:eastAsia="仿宋_GB2312"/>
              </w:rPr>
              <w:t>提前一天开通网络设备，开机直到竞赛结束。</w:t>
            </w:r>
          </w:p>
        </w:tc>
        <w:tc>
          <w:tcPr>
            <w:tcW w:w="3544" w:type="dxa"/>
            <w:vAlign w:val="center"/>
          </w:tcPr>
          <w:p>
            <w:pPr>
              <w:pStyle w:val="45"/>
              <w:widowControl w:val="0"/>
              <w:wordWrap/>
              <w:adjustRightInd/>
              <w:snapToGrid/>
              <w:spacing w:line="240" w:lineRule="auto"/>
              <w:ind w:left="0" w:leftChars="0" w:right="0" w:firstLine="0" w:firstLineChars="0"/>
              <w:jc w:val="left"/>
              <w:textAlignment w:val="auto"/>
              <w:outlineLvl w:val="9"/>
              <w:rPr>
                <w:rFonts w:hint="eastAsia" w:ascii="仿宋_GB2312" w:eastAsia="仿宋_GB2312"/>
              </w:rPr>
            </w:pPr>
            <w:r>
              <w:rPr>
                <w:rFonts w:hint="eastAsia" w:ascii="仿宋_GB2312" w:eastAsia="仿宋_GB2312"/>
              </w:rPr>
              <w:t>使用备用赛位。</w:t>
            </w:r>
          </w:p>
        </w:tc>
      </w:tr>
    </w:tbl>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十四、申诉与仲裁</w:t>
      </w:r>
    </w:p>
    <w:p>
      <w:pPr>
        <w:pStyle w:val="49"/>
        <w:spacing w:line="560" w:lineRule="exact"/>
        <w:rPr>
          <w:rFonts w:hint="eastAsia"/>
        </w:rPr>
      </w:pPr>
      <w:r>
        <w:rPr>
          <w:rFonts w:hint="eastAsia"/>
        </w:rPr>
        <w:t xml:space="preserve">大赛采取两级仲裁机制：赛项设仲裁工作组，赛区设仲裁委员会，大赛执委会办公室选派人员参加赛区仲裁委员会工作。    </w:t>
      </w:r>
    </w:p>
    <w:p>
      <w:pPr>
        <w:pStyle w:val="49"/>
        <w:spacing w:line="560" w:lineRule="exact"/>
        <w:rPr>
          <w:rFonts w:hint="eastAsia"/>
        </w:rPr>
      </w:pPr>
      <w:r>
        <w:rPr>
          <w:rFonts w:hint="eastAsia"/>
        </w:rPr>
        <w:t>本赛项在比赛过程中若出现有失公正或有关人员违规等现象，参赛队领队可在比赛结束后2小时之内向仲裁工作组提出申诉。赛项仲裁工作组在接到申诉后的2小时内组织复议，并及时反馈复议结果。</w:t>
      </w:r>
    </w:p>
    <w:p>
      <w:pPr>
        <w:pStyle w:val="49"/>
        <w:spacing w:line="560" w:lineRule="exact"/>
        <w:rPr>
          <w:rFonts w:hint="eastAsia" w:hAnsi="宋体" w:cs="Arial"/>
        </w:rPr>
      </w:pPr>
      <w:r>
        <w:rPr>
          <w:rFonts w:hint="eastAsia"/>
        </w:rPr>
        <w:t>如申诉方对复议结果仍有异议，可由省（市）领队向赛区仲裁委员会提出申诉，赛区仲裁委员会的仲裁结果为最终结果。</w:t>
      </w:r>
    </w:p>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十五、竞赛观摩</w:t>
      </w:r>
    </w:p>
    <w:p>
      <w:pPr>
        <w:pStyle w:val="49"/>
        <w:spacing w:line="560" w:lineRule="exact"/>
        <w:rPr>
          <w:rFonts w:hint="eastAsia"/>
        </w:rPr>
      </w:pPr>
      <w:r>
        <w:rPr>
          <w:rFonts w:hint="eastAsia"/>
        </w:rPr>
        <w:t>本赛项提供多种方式的观摩平台，面向各种对象提供公开观摩服务，展示高等职业教育教学改革成果。</w:t>
      </w:r>
    </w:p>
    <w:p>
      <w:pPr>
        <w:pStyle w:val="49"/>
        <w:spacing w:line="560" w:lineRule="exact"/>
        <w:rPr>
          <w:rFonts w:hint="eastAsia"/>
        </w:rPr>
      </w:pPr>
      <w:r>
        <w:rPr>
          <w:rFonts w:hint="eastAsia"/>
        </w:rPr>
        <w:t>（一）观摩对象</w:t>
      </w:r>
    </w:p>
    <w:p>
      <w:pPr>
        <w:pStyle w:val="49"/>
        <w:spacing w:line="560" w:lineRule="exact"/>
        <w:rPr>
          <w:rFonts w:hint="eastAsia"/>
        </w:rPr>
      </w:pPr>
      <w:r>
        <w:rPr>
          <w:rFonts w:hint="eastAsia"/>
        </w:rPr>
        <w:t>与赛项相关的企业、单位、院校、行业协会的专家、技术人员、指导教师等。</w:t>
      </w:r>
    </w:p>
    <w:p>
      <w:pPr>
        <w:pStyle w:val="49"/>
        <w:spacing w:line="560" w:lineRule="exact"/>
        <w:rPr>
          <w:rFonts w:hint="eastAsia"/>
        </w:rPr>
      </w:pPr>
      <w:r>
        <w:rPr>
          <w:rFonts w:hint="eastAsia"/>
        </w:rPr>
        <w:t>（二）观摩时间</w:t>
      </w:r>
    </w:p>
    <w:p>
      <w:pPr>
        <w:pStyle w:val="49"/>
        <w:spacing w:line="560" w:lineRule="exact"/>
        <w:rPr>
          <w:rFonts w:hint="eastAsia"/>
        </w:rPr>
      </w:pPr>
      <w:r>
        <w:rPr>
          <w:rFonts w:hint="eastAsia"/>
        </w:rPr>
        <w:t>比赛实践操作期间提供公开观摩。</w:t>
      </w:r>
    </w:p>
    <w:p>
      <w:pPr>
        <w:pStyle w:val="49"/>
        <w:spacing w:line="560" w:lineRule="exact"/>
        <w:rPr>
          <w:rFonts w:hint="eastAsia"/>
        </w:rPr>
      </w:pPr>
      <w:r>
        <w:rPr>
          <w:rFonts w:hint="eastAsia"/>
        </w:rPr>
        <w:t>（三）观摩形式</w:t>
      </w:r>
    </w:p>
    <w:p>
      <w:pPr>
        <w:pStyle w:val="49"/>
        <w:spacing w:line="560" w:lineRule="exact"/>
        <w:rPr>
          <w:rFonts w:hint="eastAsia"/>
        </w:rPr>
      </w:pPr>
      <w:r>
        <w:rPr>
          <w:rFonts w:hint="eastAsia"/>
        </w:rPr>
        <w:t>1. 在展示平台区域配备有大屏幕，可以实时显示各参赛队完成状态，供观众观看，既满足场内外信息联动，又可起到公众监督的作用。</w:t>
      </w:r>
    </w:p>
    <w:p>
      <w:pPr>
        <w:pStyle w:val="49"/>
        <w:spacing w:line="560" w:lineRule="exact"/>
        <w:rPr>
          <w:rFonts w:hint="eastAsia"/>
        </w:rPr>
      </w:pPr>
      <w:r>
        <w:rPr>
          <w:rFonts w:hint="eastAsia"/>
        </w:rPr>
        <w:t>2. 在赛场区域通过视频、文字等多种方式实时向外界播报赛况。</w:t>
      </w:r>
    </w:p>
    <w:p>
      <w:pPr>
        <w:pStyle w:val="49"/>
        <w:spacing w:line="560" w:lineRule="exact"/>
        <w:rPr>
          <w:rFonts w:hint="eastAsia"/>
        </w:rPr>
      </w:pPr>
      <w:r>
        <w:rPr>
          <w:rFonts w:hint="eastAsia"/>
        </w:rPr>
        <w:t>3. 现场的媒体、观众、指导老师在观摩赛事时应遵守赛场相关规定，不喧哗，不吵闹，严格禁止任何影响比赛秩序与公众秩序的行为。</w:t>
      </w:r>
    </w:p>
    <w:p>
      <w:pPr>
        <w:pStyle w:val="49"/>
        <w:spacing w:line="560" w:lineRule="exact"/>
        <w:rPr>
          <w:rFonts w:hint="eastAsia"/>
        </w:rPr>
      </w:pPr>
      <w:r>
        <w:rPr>
          <w:rFonts w:hint="eastAsia"/>
        </w:rPr>
        <w:t>（四）观摩纪律</w:t>
      </w:r>
    </w:p>
    <w:p>
      <w:pPr>
        <w:pStyle w:val="49"/>
        <w:spacing w:line="560" w:lineRule="exact"/>
        <w:rPr>
          <w:rFonts w:hint="eastAsia"/>
        </w:rPr>
      </w:pPr>
      <w:r>
        <w:rPr>
          <w:rFonts w:hint="eastAsia"/>
        </w:rPr>
        <w:t>1. 观摩人员必须佩带观摩证。</w:t>
      </w:r>
    </w:p>
    <w:p>
      <w:pPr>
        <w:pStyle w:val="49"/>
        <w:spacing w:line="560" w:lineRule="exact"/>
        <w:rPr>
          <w:rFonts w:hint="eastAsia"/>
        </w:rPr>
      </w:pPr>
      <w:r>
        <w:rPr>
          <w:rFonts w:hint="eastAsia"/>
        </w:rPr>
        <w:t>2. 观摩时不得议论、交谈，并严禁与选手进行交流。</w:t>
      </w:r>
    </w:p>
    <w:p>
      <w:pPr>
        <w:pStyle w:val="49"/>
        <w:spacing w:line="560" w:lineRule="exact"/>
        <w:rPr>
          <w:rFonts w:hint="eastAsia"/>
        </w:rPr>
      </w:pPr>
      <w:r>
        <w:rPr>
          <w:rFonts w:hint="eastAsia"/>
        </w:rPr>
        <w:t>3. 观摩时不得私自进入竞赛区域，以免影响参赛选手比赛。</w:t>
      </w:r>
    </w:p>
    <w:p>
      <w:pPr>
        <w:pStyle w:val="49"/>
        <w:spacing w:line="560" w:lineRule="exact"/>
        <w:rPr>
          <w:rFonts w:hint="eastAsia"/>
        </w:rPr>
      </w:pPr>
      <w:r>
        <w:rPr>
          <w:rFonts w:hint="eastAsia"/>
        </w:rPr>
        <w:t>4. 观摩时不准向场内裁判及工作人员提问。</w:t>
      </w:r>
    </w:p>
    <w:p>
      <w:pPr>
        <w:pStyle w:val="49"/>
        <w:spacing w:line="560" w:lineRule="exact"/>
        <w:rPr>
          <w:rFonts w:hint="eastAsia" w:hAnsi="宋体" w:cs="Arial"/>
          <w:b/>
        </w:rPr>
      </w:pPr>
      <w:r>
        <w:rPr>
          <w:rFonts w:hint="eastAsia"/>
        </w:rPr>
        <w:t>凡违反以上规定者，立即取消观摩资格。</w:t>
      </w:r>
    </w:p>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十六、竞赛视频</w:t>
      </w:r>
    </w:p>
    <w:p>
      <w:pPr>
        <w:pStyle w:val="49"/>
        <w:spacing w:line="560" w:lineRule="exact"/>
        <w:rPr>
          <w:rFonts w:hint="eastAsia"/>
        </w:rPr>
      </w:pPr>
      <w:r>
        <w:rPr>
          <w:rFonts w:hint="eastAsia"/>
        </w:rPr>
        <w:t>（一）利用多媒体技术及设备，录制视频资料，记录竞赛全过程，为宣传、仲裁、资源转化提供全面的信息资料。</w:t>
      </w:r>
    </w:p>
    <w:p>
      <w:pPr>
        <w:pStyle w:val="49"/>
        <w:spacing w:line="560" w:lineRule="exact"/>
        <w:rPr>
          <w:rFonts w:hint="eastAsia" w:hAnsi="宋体" w:cs="Arial"/>
        </w:rPr>
      </w:pPr>
      <w:r>
        <w:rPr>
          <w:rFonts w:hint="eastAsia"/>
        </w:rPr>
        <w:t>（二）制作优秀选手、指导教师采访，制作裁判专家点评、企业人士采访视频，在规定的网站公布，突出赛项的技能重点和优势特色，扩大赛项影响力。</w:t>
      </w:r>
    </w:p>
    <w:p>
      <w:pPr>
        <w:snapToGrid w:val="0"/>
        <w:spacing w:line="560" w:lineRule="exact"/>
        <w:ind w:firstLine="551" w:firstLineChars="196"/>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十七、竞赛须知</w:t>
      </w:r>
    </w:p>
    <w:p>
      <w:pPr>
        <w:pStyle w:val="49"/>
        <w:spacing w:line="560" w:lineRule="exact"/>
        <w:rPr>
          <w:rFonts w:hint="eastAsia"/>
        </w:rPr>
      </w:pPr>
      <w:r>
        <w:rPr>
          <w:rFonts w:hint="eastAsia"/>
        </w:rPr>
        <w:t>（一）参赛队须知</w:t>
      </w:r>
    </w:p>
    <w:p>
      <w:pPr>
        <w:pStyle w:val="49"/>
        <w:spacing w:line="560" w:lineRule="exact"/>
        <w:rPr>
          <w:rFonts w:hint="eastAsia"/>
        </w:rPr>
      </w:pPr>
      <w:r>
        <w:rPr>
          <w:rFonts w:hint="eastAsia"/>
        </w:rPr>
        <w:t>1. 参赛队名称统一使用规定的地区代表队名称，不使用学校或其他组织、团体的名称。</w:t>
      </w:r>
    </w:p>
    <w:p>
      <w:pPr>
        <w:pStyle w:val="49"/>
        <w:spacing w:line="560" w:lineRule="exact"/>
        <w:rPr>
          <w:rFonts w:hint="eastAsia"/>
        </w:rPr>
      </w:pPr>
      <w:r>
        <w:rPr>
          <w:rFonts w:hint="eastAsia"/>
        </w:rPr>
        <w:t>2. 参赛队应仔细阅读大赛执委会发布的文件内容，确切了解大赛时间安排、评判细节等，以保证顺利参赛；要按执委会统一要求，准时到达赛前说明会现场，会议期间要认真领会会议内容，如有不明之处，可直接向工作人员询问。</w:t>
      </w:r>
    </w:p>
    <w:p>
      <w:pPr>
        <w:pStyle w:val="49"/>
        <w:spacing w:line="560" w:lineRule="exact"/>
        <w:rPr>
          <w:rFonts w:hint="eastAsia"/>
        </w:rPr>
      </w:pPr>
      <w:r>
        <w:rPr>
          <w:rFonts w:hint="eastAsia"/>
        </w:rPr>
        <w:t>3. 参赛队按照大赛赛程安排，凭大赛执委会颁发的参赛证和有效身份证件参加竞赛及相关活动。</w:t>
      </w:r>
    </w:p>
    <w:p>
      <w:pPr>
        <w:pStyle w:val="49"/>
        <w:spacing w:line="560" w:lineRule="exact"/>
        <w:rPr>
          <w:rFonts w:hint="eastAsia"/>
        </w:rPr>
      </w:pPr>
      <w:r>
        <w:rPr>
          <w:rFonts w:hint="eastAsia"/>
        </w:rPr>
        <w:t>4. 在比赛期间，各参赛队要注意饮食卫生，防止食物中毒；各参赛队要保证所有参赛选手的安全，防止交通事故和其他意外情况的发生。</w:t>
      </w:r>
    </w:p>
    <w:p>
      <w:pPr>
        <w:pStyle w:val="49"/>
        <w:spacing w:line="560" w:lineRule="exact"/>
        <w:rPr>
          <w:rFonts w:hint="eastAsia"/>
        </w:rPr>
      </w:pPr>
      <w:r>
        <w:rPr>
          <w:rFonts w:hint="eastAsia"/>
        </w:rPr>
        <w:t>5. 参加比赛前要求参赛队为参赛选手购买人身意外伤害保险。</w:t>
      </w:r>
    </w:p>
    <w:p>
      <w:pPr>
        <w:pStyle w:val="49"/>
        <w:spacing w:line="560" w:lineRule="exact"/>
        <w:rPr>
          <w:rFonts w:hint="eastAsia"/>
        </w:rPr>
      </w:pPr>
      <w:r>
        <w:rPr>
          <w:rFonts w:hint="eastAsia"/>
        </w:rPr>
        <w:t>6. 本规则没有规定的行为，裁判组有权做出裁决。在有争议的情况下，仲裁工作组的裁决是最终裁决。</w:t>
      </w:r>
    </w:p>
    <w:p>
      <w:pPr>
        <w:pStyle w:val="49"/>
        <w:spacing w:line="560" w:lineRule="exact"/>
        <w:rPr>
          <w:rFonts w:hint="eastAsia"/>
        </w:rPr>
      </w:pPr>
      <w:r>
        <w:rPr>
          <w:rFonts w:hint="eastAsia"/>
        </w:rPr>
        <w:t>7. 本竞赛项目的解释权归大赛执委会。</w:t>
      </w:r>
    </w:p>
    <w:p>
      <w:pPr>
        <w:pStyle w:val="49"/>
        <w:spacing w:line="560" w:lineRule="exact"/>
        <w:rPr>
          <w:rFonts w:hint="eastAsia"/>
        </w:rPr>
      </w:pPr>
      <w:r>
        <w:rPr>
          <w:rFonts w:hint="eastAsia"/>
        </w:rPr>
        <w:t>（二）指导教师须知</w:t>
      </w:r>
    </w:p>
    <w:p>
      <w:pPr>
        <w:pStyle w:val="49"/>
        <w:spacing w:line="560" w:lineRule="exact"/>
        <w:rPr>
          <w:rFonts w:hint="eastAsia"/>
        </w:rPr>
      </w:pPr>
      <w:r>
        <w:rPr>
          <w:rFonts w:hint="eastAsia"/>
        </w:rPr>
        <w:t>1. 指导教师须认真如实填写报名表内容，弄虚作假者，将取消比赛资格和竞赛成绩。</w:t>
      </w:r>
    </w:p>
    <w:p>
      <w:pPr>
        <w:pStyle w:val="49"/>
        <w:spacing w:line="560" w:lineRule="exact"/>
        <w:rPr>
          <w:rFonts w:hint="eastAsia"/>
        </w:rPr>
      </w:pPr>
      <w:r>
        <w:rPr>
          <w:rFonts w:hint="eastAsia"/>
        </w:rPr>
        <w:t>2. 指导教师在竞赛现场须服从裁判和现场工作人员安排，严禁任何影响比赛正常秩序的行为。</w:t>
      </w:r>
    </w:p>
    <w:p>
      <w:pPr>
        <w:pStyle w:val="49"/>
        <w:spacing w:line="560" w:lineRule="exact"/>
        <w:rPr>
          <w:rFonts w:hint="eastAsia"/>
        </w:rPr>
      </w:pPr>
      <w:r>
        <w:rPr>
          <w:rFonts w:hint="eastAsia"/>
        </w:rPr>
        <w:t>（三）参赛选手须知</w:t>
      </w:r>
    </w:p>
    <w:p>
      <w:pPr>
        <w:pStyle w:val="49"/>
        <w:spacing w:line="560" w:lineRule="exact"/>
        <w:rPr>
          <w:rFonts w:hint="eastAsia"/>
        </w:rPr>
      </w:pPr>
      <w:r>
        <w:rPr>
          <w:rFonts w:hint="eastAsia"/>
        </w:rPr>
        <w:t>1. 参赛选手须认真如实填写报名表内容，弄虚作假者，将取消比赛资格和竞赛成绩。</w:t>
      </w:r>
    </w:p>
    <w:p>
      <w:pPr>
        <w:pStyle w:val="49"/>
        <w:spacing w:line="560" w:lineRule="exact"/>
        <w:rPr>
          <w:rFonts w:hint="eastAsia"/>
        </w:rPr>
      </w:pPr>
      <w:r>
        <w:rPr>
          <w:rFonts w:hint="eastAsia"/>
        </w:rPr>
        <w:t>2. 参赛选手应着装得体，保持良好仪表仪容。凭身份证、参赛证等参加竞赛及相关活动，并按照赛程安排和规定时间前往指定地点。</w:t>
      </w:r>
    </w:p>
    <w:p>
      <w:pPr>
        <w:pStyle w:val="49"/>
        <w:spacing w:line="560" w:lineRule="exact"/>
        <w:rPr>
          <w:rFonts w:hint="eastAsia"/>
        </w:rPr>
      </w:pPr>
      <w:r>
        <w:rPr>
          <w:rFonts w:hint="eastAsia"/>
        </w:rPr>
        <w:t>3. 参赛选手应按大赛统一安排在指定地点提前熟悉赛场。</w:t>
      </w:r>
    </w:p>
    <w:p>
      <w:pPr>
        <w:pStyle w:val="49"/>
        <w:spacing w:line="560" w:lineRule="exact"/>
        <w:rPr>
          <w:rFonts w:hint="eastAsia"/>
        </w:rPr>
      </w:pPr>
      <w:r>
        <w:rPr>
          <w:rFonts w:hint="eastAsia"/>
        </w:rPr>
        <w:t>4. 参赛选手不得携带参考资料、通信设备、存储设备、电子工具等物品进入赛场，违反者按作弊处理。</w:t>
      </w:r>
    </w:p>
    <w:p>
      <w:pPr>
        <w:pStyle w:val="49"/>
        <w:spacing w:line="560" w:lineRule="exact"/>
        <w:rPr>
          <w:rFonts w:hint="eastAsia"/>
        </w:rPr>
      </w:pPr>
      <w:r>
        <w:rPr>
          <w:rFonts w:hint="eastAsia"/>
        </w:rPr>
        <w:t>5. 参赛选手严格按照规定时间进入竞赛场地，对现场条件进行确认，按统一指令开始竞赛。</w:t>
      </w:r>
    </w:p>
    <w:p>
      <w:pPr>
        <w:pStyle w:val="49"/>
        <w:spacing w:line="560" w:lineRule="exact"/>
        <w:rPr>
          <w:rFonts w:hint="eastAsia"/>
        </w:rPr>
      </w:pPr>
      <w:r>
        <w:rPr>
          <w:rFonts w:hint="eastAsia"/>
        </w:rPr>
        <w:t>6. 选手在比赛过程中，不允许离开赛场，不允许影响其他参赛队的比赛，否则取消参赛资格。</w:t>
      </w:r>
    </w:p>
    <w:p>
      <w:pPr>
        <w:pStyle w:val="49"/>
        <w:spacing w:line="560" w:lineRule="exact"/>
        <w:rPr>
          <w:rFonts w:hint="eastAsia"/>
        </w:rPr>
      </w:pPr>
      <w:r>
        <w:rPr>
          <w:rFonts w:hint="eastAsia"/>
        </w:rPr>
        <w:t>7. 参赛选手可提前提交竞赛结果，但须按大赛规定时间离开赛场，不允许提前离场。</w:t>
      </w:r>
    </w:p>
    <w:p>
      <w:pPr>
        <w:pStyle w:val="49"/>
        <w:spacing w:line="560" w:lineRule="exact"/>
        <w:rPr>
          <w:rFonts w:hint="eastAsia"/>
        </w:rPr>
      </w:pPr>
      <w:r>
        <w:rPr>
          <w:rFonts w:hint="eastAsia"/>
        </w:rPr>
        <w:t>8. 参赛选手在竞赛结果上只填写参赛队赛位号，禁止做任何与竞赛试题无关的标记，否则取消奖项评比资格。</w:t>
      </w:r>
    </w:p>
    <w:p>
      <w:pPr>
        <w:pStyle w:val="49"/>
        <w:spacing w:line="560" w:lineRule="exact"/>
        <w:rPr>
          <w:rFonts w:hint="eastAsia"/>
        </w:rPr>
      </w:pPr>
      <w:r>
        <w:rPr>
          <w:rFonts w:hint="eastAsia"/>
        </w:rPr>
        <w:t>9. 裁判宣布竞赛时间到，选手须立即停止操作，否则按违纪处理，取消奖项评比资格；若提前提交竞赛结果，应该举手示意，结束竞赛后不得再进行任何答卷或操作，选手一律按大赛统一时间离场。</w:t>
      </w:r>
    </w:p>
    <w:p>
      <w:pPr>
        <w:pStyle w:val="49"/>
        <w:spacing w:line="560" w:lineRule="exact"/>
        <w:rPr>
          <w:rFonts w:hint="eastAsia"/>
        </w:rPr>
      </w:pPr>
      <w:r>
        <w:rPr>
          <w:rFonts w:hint="eastAsia"/>
        </w:rPr>
        <w:t>10. 参赛选手应严格遵守操作规程，确保人身及设备安全。设备出现故障，应举手示意，由裁判视具体情况做出裁决。如因选手个人原因出现安全事件或设备故障，未造成严重后果的，按相关规定扣减分数；造成严重后果的，由主裁判裁定其竞赛结束。非选手个人原因出现的安全事件或设备故障，由主裁判做出裁决，视具体情况给选手补足排除故障耗费时间。</w:t>
      </w:r>
    </w:p>
    <w:p>
      <w:pPr>
        <w:pStyle w:val="49"/>
        <w:spacing w:line="560" w:lineRule="exact"/>
        <w:rPr>
          <w:rFonts w:hint="eastAsia"/>
        </w:rPr>
      </w:pPr>
      <w:r>
        <w:rPr>
          <w:rFonts w:hint="eastAsia"/>
        </w:rPr>
        <w:t>11. 参赛选手不得将试卷及草稿纸带出赛场，违反者按违纪处理，取消奖项评比资格。</w:t>
      </w:r>
    </w:p>
    <w:p>
      <w:pPr>
        <w:pStyle w:val="49"/>
        <w:spacing w:line="560" w:lineRule="exact"/>
        <w:rPr>
          <w:rFonts w:hint="eastAsia"/>
        </w:rPr>
      </w:pPr>
      <w:r>
        <w:rPr>
          <w:rFonts w:hint="eastAsia"/>
        </w:rPr>
        <w:t>12. 竞赛未全面结束前，所有设备不允许关机。</w:t>
      </w:r>
    </w:p>
    <w:p>
      <w:pPr>
        <w:pStyle w:val="49"/>
        <w:spacing w:line="560" w:lineRule="exact"/>
        <w:rPr>
          <w:rFonts w:hint="eastAsia"/>
        </w:rPr>
      </w:pPr>
      <w:r>
        <w:rPr>
          <w:rFonts w:hint="eastAsia"/>
        </w:rPr>
        <w:t>13. 参赛选手应严格遵守赛场规则，服从裁判，文明竞赛。有作弊行为的，取消比赛资格和评奖资格，该项成绩为0分；如有不服从裁判、扰乱赛场秩序等不文明行为，按照相关规定扣减分数，情节严重的取消比赛资格和竞赛成绩。</w:t>
      </w:r>
    </w:p>
    <w:p>
      <w:pPr>
        <w:pStyle w:val="49"/>
        <w:spacing w:line="560" w:lineRule="exact"/>
        <w:rPr>
          <w:rFonts w:hint="eastAsia"/>
        </w:rPr>
      </w:pPr>
      <w:r>
        <w:rPr>
          <w:rFonts w:hint="eastAsia"/>
        </w:rPr>
        <w:t>（四）工作人员须知</w:t>
      </w:r>
    </w:p>
    <w:p>
      <w:pPr>
        <w:pStyle w:val="49"/>
        <w:spacing w:line="560" w:lineRule="exact"/>
        <w:rPr>
          <w:rFonts w:hint="eastAsia"/>
        </w:rPr>
      </w:pPr>
      <w:r>
        <w:rPr>
          <w:rFonts w:hint="eastAsia"/>
        </w:rPr>
        <w:t>1. 大赛全体工作人员必须服从执委会统一指挥，认真履行职责，做好比赛服务工作。</w:t>
      </w:r>
    </w:p>
    <w:p>
      <w:pPr>
        <w:pStyle w:val="49"/>
        <w:spacing w:line="560" w:lineRule="exact"/>
        <w:rPr>
          <w:rFonts w:hint="eastAsia"/>
        </w:rPr>
      </w:pPr>
      <w:r>
        <w:rPr>
          <w:rFonts w:hint="eastAsia"/>
        </w:rPr>
        <w:t>2. 全体工作人员要按分工准时到岗，尽职尽责做好份内各项工作，保证比赛顺利进行。</w:t>
      </w:r>
    </w:p>
    <w:p>
      <w:pPr>
        <w:pStyle w:val="49"/>
        <w:spacing w:line="560" w:lineRule="exact"/>
        <w:rPr>
          <w:rFonts w:hint="eastAsia"/>
        </w:rPr>
      </w:pPr>
      <w:r>
        <w:rPr>
          <w:rFonts w:hint="eastAsia"/>
        </w:rPr>
        <w:t>3. 赛场技术负责人要坚守岗位，比赛出现技术问题（包括设备、器材等）时，应与裁判组组长及时联系，及时处理，如需要重新比赛要得到执委会同意后方可进行。</w:t>
      </w:r>
    </w:p>
    <w:p>
      <w:pPr>
        <w:pStyle w:val="49"/>
        <w:spacing w:line="560" w:lineRule="exact"/>
        <w:rPr>
          <w:rFonts w:hint="eastAsia"/>
        </w:rPr>
      </w:pPr>
      <w:r>
        <w:rPr>
          <w:rFonts w:hint="eastAsia"/>
        </w:rPr>
        <w:t>4. 如遇突发事件，要及时向执委会报告，同时做好疏导工作，避免重大事故发生。</w:t>
      </w:r>
    </w:p>
    <w:p>
      <w:pPr>
        <w:pStyle w:val="49"/>
        <w:spacing w:line="560" w:lineRule="exact"/>
        <w:rPr>
          <w:rFonts w:hint="eastAsia"/>
        </w:rPr>
      </w:pPr>
      <w:r>
        <w:rPr>
          <w:rFonts w:hint="eastAsia"/>
        </w:rPr>
        <w:t>5. 认真组织好参赛选手报到及赛前准备工作，维护好比赛秩序，遇有重大问题及时与执委会联系协商解决办法。</w:t>
      </w:r>
    </w:p>
    <w:p>
      <w:pPr>
        <w:pStyle w:val="49"/>
        <w:spacing w:line="560" w:lineRule="exact"/>
        <w:rPr>
          <w:rFonts w:hint="eastAsia"/>
        </w:rPr>
      </w:pPr>
      <w:r>
        <w:rPr>
          <w:rFonts w:hint="eastAsia"/>
        </w:rPr>
        <w:t>6. 不得在赛场内接打电话。检录人员、场内服务人员在比赛进行时一律关闭手机，非特殊原因不得擅自离开赛场。</w:t>
      </w:r>
    </w:p>
    <w:p>
      <w:pPr>
        <w:pStyle w:val="49"/>
        <w:spacing w:line="560" w:lineRule="exact"/>
        <w:rPr>
          <w:rFonts w:hint="eastAsia"/>
        </w:rPr>
      </w:pPr>
      <w:r>
        <w:rPr>
          <w:rFonts w:hint="eastAsia"/>
        </w:rPr>
        <w:t>7. 比赛现场不得进行聊天、打闹等可能影响参赛选手的任何举动；不得私自与参赛选手交谈。</w:t>
      </w:r>
    </w:p>
    <w:p>
      <w:pPr>
        <w:pStyle w:val="49"/>
        <w:spacing w:line="560" w:lineRule="exact"/>
        <w:rPr>
          <w:rFonts w:hint="eastAsia"/>
        </w:rPr>
      </w:pPr>
      <w:r>
        <w:rPr>
          <w:rFonts w:hint="eastAsia"/>
        </w:rPr>
        <w:t>8. 现场裁判要秉公监考。如遇疑问或争议，须请示裁判长，裁判长的决定为现场最终裁定。</w:t>
      </w:r>
    </w:p>
    <w:p>
      <w:pPr>
        <w:pStyle w:val="49"/>
        <w:spacing w:line="560" w:lineRule="exact"/>
        <w:rPr>
          <w:rFonts w:hint="eastAsia" w:hAnsi="宋体" w:cs="Arial"/>
        </w:rPr>
      </w:pPr>
      <w:r>
        <w:rPr>
          <w:rFonts w:hint="eastAsia"/>
        </w:rPr>
        <w:t>9. 参赛队进入赛场，赛场工作人员应按规定审查允许带入赛场的资料和物品，不允许带入赛场的物品交由参赛队随行人员保管，赛场不提供保管服务。</w:t>
      </w:r>
    </w:p>
    <w:p>
      <w:pPr>
        <w:snapToGrid w:val="0"/>
        <w:spacing w:line="560" w:lineRule="exact"/>
        <w:jc w:val="left"/>
        <w:outlineLvl w:val="0"/>
        <w:rPr>
          <w:rFonts w:hint="eastAsia" w:ascii="仿宋_GB2312" w:hAnsi="宋体" w:eastAsia="仿宋_GB2312" w:cs="Arial"/>
          <w:b/>
          <w:kern w:val="0"/>
          <w:sz w:val="28"/>
          <w:szCs w:val="28"/>
        </w:rPr>
      </w:pPr>
      <w:r>
        <w:rPr>
          <w:rFonts w:hint="eastAsia" w:ascii="仿宋_GB2312" w:hAnsi="宋体" w:eastAsia="仿宋_GB2312" w:cs="Arial"/>
          <w:b/>
          <w:kern w:val="0"/>
          <w:sz w:val="28"/>
          <w:szCs w:val="28"/>
        </w:rPr>
        <w:t>十八、资源转化</w:t>
      </w:r>
    </w:p>
    <w:p>
      <w:pPr>
        <w:pStyle w:val="49"/>
        <w:spacing w:line="560" w:lineRule="exact"/>
        <w:rPr>
          <w:rFonts w:hint="eastAsia"/>
        </w:rPr>
      </w:pPr>
      <w:r>
        <w:rPr>
          <w:rFonts w:hint="eastAsia"/>
        </w:rPr>
        <w:t>赛项执委会与赛项承办校参照《2015年全国职业院校技能大赛赛项资源转化工作办法》的有关要求，提供赛项竞赛全过程的各类资源，于赛后30日内向大赛执委会办公室提交资源转化方案，半年内完成资源转化工作，形成符合行业标准、契合课程标准、突出技能特色、展现竞赛优势，满足职业教育教学需求、体现先进教学模式、反映职业教育先进水平的赛项资源转化成果。</w:t>
      </w:r>
    </w:p>
    <w:p>
      <w:pPr>
        <w:widowControl/>
        <w:spacing w:line="560" w:lineRule="exact"/>
        <w:jc w:val="left"/>
        <w:rPr>
          <w:rFonts w:ascii="仿宋_GB2312" w:hAnsi="宋体" w:eastAsia="仿宋_GB2312" w:cs="Arial"/>
          <w:kern w:val="0"/>
          <w:szCs w:val="21"/>
        </w:rPr>
      </w:pPr>
      <w:r>
        <w:rPr>
          <w:rFonts w:hint="eastAsia" w:ascii="仿宋_GB2312" w:eastAsia="仿宋_GB2312"/>
          <w:sz w:val="28"/>
          <w:szCs w:val="28"/>
        </w:rPr>
        <w:br w:type="page"/>
      </w:r>
    </w:p>
    <w:p>
      <w:pPr>
        <w:pStyle w:val="43"/>
        <w:ind w:firstLine="482"/>
        <w:jc w:val="center"/>
        <w:rPr>
          <w:b/>
          <w:sz w:val="24"/>
          <w:szCs w:val="24"/>
        </w:rPr>
      </w:pPr>
      <w:r>
        <w:rPr>
          <w:rFonts w:hint="eastAsia"/>
          <w:b/>
          <w:sz w:val="24"/>
          <w:szCs w:val="24"/>
        </w:rPr>
        <w:t>表6 教学资源转化建设计划</w:t>
      </w:r>
    </w:p>
    <w:tbl>
      <w:tblPr>
        <w:tblStyle w:val="21"/>
        <w:tblW w:w="7774" w:type="dxa"/>
        <w:jc w:val="center"/>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1"/>
        <w:gridCol w:w="1559"/>
        <w:gridCol w:w="5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4" w:hRule="atLeast"/>
          <w:jc w:val="center"/>
        </w:trPr>
        <w:tc>
          <w:tcPr>
            <w:tcW w:w="851"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b/>
              </w:rPr>
            </w:pPr>
            <w:bookmarkStart w:id="0" w:name="_GoBack"/>
            <w:r>
              <w:rPr>
                <w:rFonts w:hint="eastAsia" w:ascii="仿宋_GB2312" w:eastAsia="仿宋_GB2312"/>
                <w:b/>
              </w:rPr>
              <w:t>序号</w:t>
            </w:r>
          </w:p>
        </w:tc>
        <w:tc>
          <w:tcPr>
            <w:tcW w:w="1559"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b/>
              </w:rPr>
            </w:pPr>
            <w:r>
              <w:rPr>
                <w:rFonts w:hint="eastAsia" w:ascii="仿宋_GB2312" w:eastAsia="仿宋_GB2312"/>
                <w:b/>
              </w:rPr>
              <w:t>教学建设</w:t>
            </w:r>
          </w:p>
        </w:tc>
        <w:tc>
          <w:tcPr>
            <w:tcW w:w="5364"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b/>
              </w:rPr>
            </w:pPr>
            <w:r>
              <w:rPr>
                <w:rFonts w:hint="eastAsia" w:ascii="仿宋_GB2312" w:eastAsia="仿宋_GB2312"/>
                <w:b/>
              </w:rPr>
              <w:t>教学资源转化建设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26" w:hRule="atLeast"/>
          <w:jc w:val="center"/>
        </w:trPr>
        <w:tc>
          <w:tcPr>
            <w:tcW w:w="851"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1</w:t>
            </w:r>
          </w:p>
        </w:tc>
        <w:tc>
          <w:tcPr>
            <w:tcW w:w="1559"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通信专业</w:t>
            </w:r>
          </w:p>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标准建设</w:t>
            </w:r>
          </w:p>
        </w:tc>
        <w:tc>
          <w:tcPr>
            <w:tcW w:w="5364" w:type="dxa"/>
            <w:vAlign w:val="center"/>
          </w:tcPr>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通过本次大赛带动通信专业标准建设，内容包括:</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 xml:space="preserve">1. 专业培养目标； </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2. 人才培养方案；</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3. 就业岗位群；</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4. 典型工作任务；</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5. 职业能力描述；</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6. 课程体系结构；</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7. 教学计划进程表；</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8. 专业学习指南、教材、实训手册等。</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同时生成标准文档并进行推广。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97" w:hRule="atLeast"/>
          <w:jc w:val="center"/>
        </w:trPr>
        <w:tc>
          <w:tcPr>
            <w:tcW w:w="851"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2</w:t>
            </w:r>
          </w:p>
        </w:tc>
        <w:tc>
          <w:tcPr>
            <w:tcW w:w="1559"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互联网平台</w:t>
            </w:r>
          </w:p>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教学和学习指导</w:t>
            </w:r>
          </w:p>
        </w:tc>
        <w:tc>
          <w:tcPr>
            <w:tcW w:w="5364" w:type="dxa"/>
            <w:vAlign w:val="center"/>
          </w:tcPr>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1. 本赛项竞赛系统采用互联网平台开发，只要具备基础互联网环境，就可以实现对学校及学生有效的后续教学及学习指导；</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2. 提供多项增值服务，包括模拟竞赛、能力测评、行为分析等。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65" w:hRule="atLeast"/>
          <w:jc w:val="center"/>
        </w:trPr>
        <w:tc>
          <w:tcPr>
            <w:tcW w:w="851"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3</w:t>
            </w:r>
          </w:p>
        </w:tc>
        <w:tc>
          <w:tcPr>
            <w:tcW w:w="1559"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实训课程</w:t>
            </w:r>
          </w:p>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资源建设</w:t>
            </w:r>
          </w:p>
        </w:tc>
        <w:tc>
          <w:tcPr>
            <w:tcW w:w="5364" w:type="dxa"/>
            <w:vAlign w:val="center"/>
          </w:tcPr>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本次竞赛各环节均为现网4G LTE通信工程项目过程的缩影，对移动通信教学具有实践指导意义。</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通过将竞赛环节转化为学生实训案例来丰富课程资源库建设，制定移动通信实践课程关于4G LTE移动通信的规范。包括：</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1. 课程标准；</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2. 实训教学方案；</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3. 实验指导书；</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4. 实习操作演示录像；</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5. 习题以及作业布置等。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61" w:hRule="atLeast"/>
          <w:jc w:val="center"/>
        </w:trPr>
        <w:tc>
          <w:tcPr>
            <w:tcW w:w="851"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4</w:t>
            </w:r>
          </w:p>
        </w:tc>
        <w:tc>
          <w:tcPr>
            <w:tcW w:w="1559"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教学素材</w:t>
            </w:r>
          </w:p>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资源建设</w:t>
            </w:r>
          </w:p>
        </w:tc>
        <w:tc>
          <w:tcPr>
            <w:tcW w:w="5364" w:type="dxa"/>
            <w:vAlign w:val="center"/>
          </w:tcPr>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1. 本次竞赛所用软件、赛项任务书等赛项过程资料均可纳入教学素材资源库。</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2. 在此基础上进行课件等的二次开发作为教学资源补充；</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3. 本次大赛录像、相关操作照片等也可作为信息资源备案。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59" w:hRule="atLeast"/>
          <w:jc w:val="center"/>
        </w:trPr>
        <w:tc>
          <w:tcPr>
            <w:tcW w:w="851"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5</w:t>
            </w:r>
          </w:p>
        </w:tc>
        <w:tc>
          <w:tcPr>
            <w:tcW w:w="1559" w:type="dxa"/>
            <w:vAlign w:val="center"/>
          </w:tcPr>
          <w:p>
            <w:pPr>
              <w:pStyle w:val="45"/>
              <w:widowControl w:val="0"/>
              <w:wordWrap/>
              <w:adjustRightInd/>
              <w:snapToGrid/>
              <w:spacing w:line="240" w:lineRule="auto"/>
              <w:ind w:left="0" w:leftChars="0" w:right="0" w:firstLine="0" w:firstLineChars="0"/>
              <w:textAlignment w:val="auto"/>
              <w:outlineLvl w:val="9"/>
              <w:rPr>
                <w:rFonts w:ascii="仿宋_GB2312" w:eastAsia="仿宋_GB2312"/>
              </w:rPr>
            </w:pPr>
            <w:r>
              <w:rPr>
                <w:rFonts w:hint="eastAsia" w:ascii="仿宋_GB2312" w:eastAsia="仿宋_GB2312"/>
              </w:rPr>
              <w:t>教师和企业专家信息库建设</w:t>
            </w:r>
          </w:p>
        </w:tc>
        <w:tc>
          <w:tcPr>
            <w:tcW w:w="5364" w:type="dxa"/>
            <w:vAlign w:val="center"/>
          </w:tcPr>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1. 建立本次大赛所邀请高校教师、行业内专家的信息库；</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2. 加强教师相互交流和企业专家沟通，及时了解通信企业实际应用和新技术的发展，实现企业专家与学校教师互兼互聘，在深层次共享教育资源；</w:t>
            </w:r>
          </w:p>
          <w:p>
            <w:pPr>
              <w:pStyle w:val="45"/>
              <w:widowControl w:val="0"/>
              <w:wordWrap/>
              <w:adjustRightInd/>
              <w:snapToGrid/>
              <w:spacing w:line="240" w:lineRule="auto"/>
              <w:ind w:left="0" w:leftChars="0" w:right="0" w:firstLine="0" w:firstLineChars="0"/>
              <w:jc w:val="left"/>
              <w:textAlignment w:val="auto"/>
              <w:outlineLvl w:val="9"/>
              <w:rPr>
                <w:rFonts w:ascii="仿宋_GB2312" w:eastAsia="仿宋_GB2312"/>
              </w:rPr>
            </w:pPr>
            <w:r>
              <w:rPr>
                <w:rFonts w:hint="eastAsia" w:ascii="仿宋_GB2312" w:eastAsia="仿宋_GB2312"/>
              </w:rPr>
              <w:t>3. 通过承办技能大赛，建立丰富的教师与专家资源库，举办专家研讨会。</w:t>
            </w:r>
          </w:p>
        </w:tc>
      </w:tr>
      <w:bookmarkEnd w:id="0"/>
    </w:tbl>
    <w:p>
      <w:pPr>
        <w:snapToGrid w:val="0"/>
        <w:spacing w:line="560" w:lineRule="exact"/>
        <w:jc w:val="left"/>
        <w:outlineLvl w:val="0"/>
        <w:rPr>
          <w:rFonts w:ascii="仿宋_GB2312" w:hAnsi="宋体" w:eastAsia="仿宋_GB2312" w:cs="Arial"/>
          <w:kern w:val="0"/>
          <w:sz w:val="28"/>
          <w:szCs w:val="28"/>
        </w:rPr>
      </w:pPr>
    </w:p>
    <w:sectPr>
      <w:headerReference r:id="rId4" w:type="default"/>
      <w:footerReference r:id="rId5" w:type="default"/>
      <w:pgSz w:w="11906" w:h="16838"/>
      <w:pgMar w:top="1440" w:right="240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仿宋">
    <w:altName w:val="仿宋"/>
    <w:panose1 w:val="02010600040101010101"/>
    <w:charset w:val="86"/>
    <w:family w:val="auto"/>
    <w:pitch w:val="default"/>
    <w:sig w:usb0="00000287" w:usb1="080F0000" w:usb2="00000010" w:usb3="00000000" w:csb0="000400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F7FFAFFF" w:usb1="E9DFFFFF" w:usb2="0000003F" w:usb3="00000000" w:csb0="003F01F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PROKST+FZFSJW--GB1-0">
    <w:altName w:val="宋体"/>
    <w:panose1 w:val="00000000000000000000"/>
    <w:charset w:val="86"/>
    <w:family w:val="auto"/>
    <w:pitch w:val="default"/>
    <w:sig w:usb0="00000001" w:usb1="080E0000" w:usb2="00000010" w:usb3="00000000" w:csb0="00040000" w:csb1="00000000"/>
  </w:font>
  <w:font w:name="华文彩云">
    <w:altName w:val="微软雅黑"/>
    <w:panose1 w:val="02010800040101010101"/>
    <w:charset w:val="86"/>
    <w:family w:val="auto"/>
    <w:pitch w:val="default"/>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right"/>
    </w:pPr>
    <w:r>
      <w:rPr>
        <w:rFonts w:hint="eastAsia"/>
      </w:rPr>
      <w:t>第</w:t>
    </w:r>
    <w:r>
      <w:rPr>
        <w:rFonts w:hint="eastAsia"/>
      </w:rPr>
      <w:fldChar w:fldCharType="begin"/>
    </w:r>
    <w:r>
      <w:instrText xml:space="preserve"> PAGE   \* MERGEFORMAT </w:instrText>
    </w:r>
    <w:r>
      <w:fldChar w:fldCharType="separate"/>
    </w:r>
    <w:r>
      <w:rPr>
        <w:lang w:val="zh-CN"/>
      </w:rPr>
      <w:t>3</w:t>
    </w:r>
    <w:r>
      <w:rPr>
        <w:lang w:val="zh-CN"/>
      </w:rPr>
      <w:fldChar w:fldCharType="end"/>
    </w:r>
    <w:r>
      <w:rPr>
        <w:rFonts w:hint="eastAsia"/>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291">
    <w:nsid w:val="FFFFFFFB"/>
    <w:multiLevelType w:val="multilevel"/>
    <w:tmpl w:val="FFFFFFFB"/>
    <w:lvl w:ilvl="0" w:tentative="1">
      <w:start w:val="1"/>
      <w:numFmt w:val="decimal"/>
      <w:pStyle w:val="28"/>
      <w:lvlText w:val="%1"/>
      <w:lvlJc w:val="left"/>
      <w:pPr>
        <w:tabs>
          <w:tab w:val="left" w:pos="1247"/>
        </w:tabs>
        <w:ind w:left="1247" w:hanging="1247"/>
      </w:pPr>
      <w:rPr>
        <w:rFonts w:hint="default" w:ascii="Arial" w:hAnsi="Arial" w:eastAsia="宋体"/>
        <w:b/>
        <w:i w:val="0"/>
        <w:sz w:val="36"/>
      </w:rPr>
    </w:lvl>
    <w:lvl w:ilvl="1" w:tentative="1">
      <w:start w:val="1"/>
      <w:numFmt w:val="decimal"/>
      <w:pStyle w:val="29"/>
      <w:lvlText w:val="%1.%2"/>
      <w:lvlJc w:val="left"/>
      <w:pPr>
        <w:tabs>
          <w:tab w:val="left" w:pos="1247"/>
        </w:tabs>
        <w:ind w:left="1247" w:hanging="1247"/>
      </w:pPr>
      <w:rPr>
        <w:rFonts w:hint="default" w:ascii="Arial" w:hAnsi="Arial" w:eastAsia="宋体"/>
        <w:b/>
        <w:i w:val="0"/>
        <w:sz w:val="28"/>
        <w:szCs w:val="28"/>
      </w:rPr>
    </w:lvl>
    <w:lvl w:ilvl="2" w:tentative="1">
      <w:start w:val="1"/>
      <w:numFmt w:val="decimal"/>
      <w:pStyle w:val="30"/>
      <w:lvlText w:val="%1.%2.%3"/>
      <w:lvlJc w:val="left"/>
      <w:pPr>
        <w:tabs>
          <w:tab w:val="left" w:pos="1667"/>
        </w:tabs>
        <w:ind w:left="1667" w:hanging="1247"/>
      </w:pPr>
      <w:rPr>
        <w:rFonts w:hint="default" w:ascii="Arial" w:hAnsi="Arial" w:eastAsia="宋体"/>
        <w:b/>
        <w:i w:val="0"/>
        <w:color w:val="auto"/>
        <w:sz w:val="24"/>
        <w:lang w:val="en-US"/>
      </w:rPr>
    </w:lvl>
    <w:lvl w:ilvl="3" w:tentative="1">
      <w:start w:val="1"/>
      <w:numFmt w:val="decimal"/>
      <w:pStyle w:val="31"/>
      <w:lvlText w:val="%1.%2.%3.%4"/>
      <w:lvlJc w:val="left"/>
      <w:pPr>
        <w:tabs>
          <w:tab w:val="left" w:pos="1247"/>
        </w:tabs>
        <w:ind w:left="1247" w:hanging="1247"/>
      </w:pPr>
      <w:rPr>
        <w:rFonts w:hint="default" w:ascii="Arial" w:hAnsi="Arial" w:eastAsia="宋体"/>
        <w:b/>
        <w:i w:val="0"/>
        <w:color w:val="auto"/>
        <w:sz w:val="21"/>
      </w:rPr>
    </w:lvl>
    <w:lvl w:ilvl="4" w:tentative="1">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241454953">
    <w:nsid w:val="0E644F69"/>
    <w:multiLevelType w:val="multilevel"/>
    <w:tmpl w:val="0E644F69"/>
    <w:lvl w:ilvl="0" w:tentative="1">
      <w:start w:val="1"/>
      <w:numFmt w:val="decimal"/>
      <w:pStyle w:val="37"/>
      <w:lvlText w:val="表%1"/>
      <w:lvlJc w:val="center"/>
      <w:pPr>
        <w:tabs>
          <w:tab w:val="left" w:pos="1701"/>
        </w:tabs>
        <w:ind w:left="1701" w:hanging="340"/>
      </w:pPr>
      <w:rPr>
        <w:rFonts w:hint="eastAsia" w:eastAsia="宋体"/>
        <w:b w:val="0"/>
        <w:i w:val="0"/>
        <w:sz w:val="18"/>
        <w:szCs w:val="2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60734120">
    <w:nsid w:val="1B763EA8"/>
    <w:multiLevelType w:val="multilevel"/>
    <w:tmpl w:val="1B763EA8"/>
    <w:lvl w:ilvl="0" w:tentative="1">
      <w:start w:val="1"/>
      <w:numFmt w:val="bullet"/>
      <w:pStyle w:val="34"/>
      <w:lvlText w:val=""/>
      <w:lvlJc w:val="left"/>
      <w:pPr>
        <w:tabs>
          <w:tab w:val="left" w:pos="1667"/>
        </w:tabs>
        <w:ind w:left="1667" w:hanging="420"/>
      </w:pPr>
      <w:rPr>
        <w:rFonts w:hint="default" w:ascii="Symbol" w:hAnsi="Symbol"/>
      </w:rPr>
    </w:lvl>
    <w:lvl w:ilvl="1" w:tentative="1">
      <w:start w:val="1"/>
      <w:numFmt w:val="decimal"/>
      <w:lvlText w:val="%1.%2."/>
      <w:lvlJc w:val="left"/>
      <w:pPr>
        <w:tabs>
          <w:tab w:val="left" w:pos="497"/>
        </w:tabs>
        <w:ind w:left="497" w:hanging="432"/>
      </w:pPr>
      <w:rPr>
        <w:rFonts w:hint="eastAsia"/>
      </w:rPr>
    </w:lvl>
    <w:lvl w:ilvl="2" w:tentative="1">
      <w:start w:val="1"/>
      <w:numFmt w:val="decimal"/>
      <w:lvlText w:val="%1.%2.%3."/>
      <w:lvlJc w:val="left"/>
      <w:pPr>
        <w:tabs>
          <w:tab w:val="left" w:pos="929"/>
        </w:tabs>
        <w:ind w:left="929" w:hanging="504"/>
      </w:pPr>
      <w:rPr>
        <w:rFonts w:hint="eastAsia"/>
      </w:rPr>
    </w:lvl>
    <w:lvl w:ilvl="3" w:tentative="1">
      <w:start w:val="1"/>
      <w:numFmt w:val="decimal"/>
      <w:lvlText w:val="%1.%2.%3.%4."/>
      <w:lvlJc w:val="left"/>
      <w:pPr>
        <w:tabs>
          <w:tab w:val="left" w:pos="1433"/>
        </w:tabs>
        <w:ind w:left="1433" w:hanging="648"/>
      </w:pPr>
      <w:rPr>
        <w:rFonts w:hint="eastAsia"/>
      </w:rPr>
    </w:lvl>
    <w:lvl w:ilvl="4" w:tentative="1">
      <w:start w:val="1"/>
      <w:numFmt w:val="decimal"/>
      <w:lvlText w:val="%1.%2.%3.%4.%5."/>
      <w:lvlJc w:val="left"/>
      <w:pPr>
        <w:tabs>
          <w:tab w:val="left" w:pos="1937"/>
        </w:tabs>
        <w:ind w:left="1937" w:hanging="792"/>
      </w:pPr>
      <w:rPr>
        <w:rFonts w:hint="eastAsia"/>
      </w:rPr>
    </w:lvl>
    <w:lvl w:ilvl="5" w:tentative="1">
      <w:start w:val="1"/>
      <w:numFmt w:val="decimal"/>
      <w:lvlText w:val="%1.%2.%3.%4.%5.%6."/>
      <w:lvlJc w:val="left"/>
      <w:pPr>
        <w:tabs>
          <w:tab w:val="left" w:pos="2441"/>
        </w:tabs>
        <w:ind w:left="2441" w:hanging="936"/>
      </w:pPr>
      <w:rPr>
        <w:rFonts w:hint="eastAsia"/>
      </w:rPr>
    </w:lvl>
    <w:lvl w:ilvl="6" w:tentative="1">
      <w:start w:val="1"/>
      <w:numFmt w:val="decimal"/>
      <w:lvlText w:val="%1.%2.%3.%4.%5.%6.%7."/>
      <w:lvlJc w:val="left"/>
      <w:pPr>
        <w:tabs>
          <w:tab w:val="left" w:pos="2945"/>
        </w:tabs>
        <w:ind w:left="2945" w:hanging="1080"/>
      </w:pPr>
      <w:rPr>
        <w:rFonts w:hint="eastAsia"/>
      </w:rPr>
    </w:lvl>
    <w:lvl w:ilvl="7" w:tentative="1">
      <w:start w:val="1"/>
      <w:numFmt w:val="decimal"/>
      <w:lvlText w:val="%1.%2.%3.%4.%5.%6.%7.%8."/>
      <w:lvlJc w:val="left"/>
      <w:pPr>
        <w:tabs>
          <w:tab w:val="left" w:pos="3449"/>
        </w:tabs>
        <w:ind w:left="3449" w:hanging="1224"/>
      </w:pPr>
      <w:rPr>
        <w:rFonts w:hint="eastAsia"/>
      </w:rPr>
    </w:lvl>
    <w:lvl w:ilvl="8" w:tentative="1">
      <w:start w:val="1"/>
      <w:numFmt w:val="decimal"/>
      <w:lvlText w:val="%1.%2.%3.%4.%5.%6.%7.%8.%9."/>
      <w:lvlJc w:val="left"/>
      <w:pPr>
        <w:tabs>
          <w:tab w:val="left" w:pos="4025"/>
        </w:tabs>
        <w:ind w:left="4025" w:hanging="1440"/>
      </w:pPr>
      <w:rPr>
        <w:rFonts w:hint="eastAsia"/>
      </w:rPr>
    </w:lvl>
  </w:abstractNum>
  <w:abstractNum w:abstractNumId="2142989245">
    <w:nsid w:val="7FBB6BBD"/>
    <w:multiLevelType w:val="multilevel"/>
    <w:tmpl w:val="7FBB6BBD"/>
    <w:lvl w:ilvl="0" w:tentative="1">
      <w:start w:val="1"/>
      <w:numFmt w:val="decimal"/>
      <w:pStyle w:val="38"/>
      <w:lvlText w:val="图%1"/>
      <w:lvlJc w:val="center"/>
      <w:pPr>
        <w:tabs>
          <w:tab w:val="left" w:pos="1701"/>
        </w:tabs>
        <w:ind w:left="1701" w:hanging="340"/>
      </w:pPr>
      <w:rPr>
        <w:rFonts w:hint="eastAsia" w:eastAsia="宋体"/>
        <w:b w:val="0"/>
        <w:i w:val="0"/>
        <w:sz w:val="18"/>
        <w:szCs w:val="2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294967291"/>
  </w:num>
  <w:num w:numId="2">
    <w:abstractNumId w:val="460734120"/>
  </w:num>
  <w:num w:numId="3">
    <w:abstractNumId w:val="241454953"/>
  </w:num>
  <w:num w:numId="4">
    <w:abstractNumId w:val="21429892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049C3"/>
    <w:rsid w:val="00000D99"/>
    <w:rsid w:val="000012AA"/>
    <w:rsid w:val="00001E5A"/>
    <w:rsid w:val="0000301C"/>
    <w:rsid w:val="000038F4"/>
    <w:rsid w:val="0000440E"/>
    <w:rsid w:val="00010071"/>
    <w:rsid w:val="00010AA8"/>
    <w:rsid w:val="00010DAD"/>
    <w:rsid w:val="00012095"/>
    <w:rsid w:val="000122E4"/>
    <w:rsid w:val="00013344"/>
    <w:rsid w:val="000145CC"/>
    <w:rsid w:val="00015F9B"/>
    <w:rsid w:val="000200A8"/>
    <w:rsid w:val="000208F2"/>
    <w:rsid w:val="000265DF"/>
    <w:rsid w:val="00027CFE"/>
    <w:rsid w:val="00032718"/>
    <w:rsid w:val="00032C62"/>
    <w:rsid w:val="00033DB4"/>
    <w:rsid w:val="000359D2"/>
    <w:rsid w:val="00037428"/>
    <w:rsid w:val="000377B4"/>
    <w:rsid w:val="00037B5D"/>
    <w:rsid w:val="00040079"/>
    <w:rsid w:val="000408B1"/>
    <w:rsid w:val="00041980"/>
    <w:rsid w:val="00043394"/>
    <w:rsid w:val="000435C9"/>
    <w:rsid w:val="00043D85"/>
    <w:rsid w:val="000454D2"/>
    <w:rsid w:val="00045D6B"/>
    <w:rsid w:val="00046191"/>
    <w:rsid w:val="00050D9D"/>
    <w:rsid w:val="00051E2D"/>
    <w:rsid w:val="000531A4"/>
    <w:rsid w:val="000551E5"/>
    <w:rsid w:val="00062806"/>
    <w:rsid w:val="00062AE8"/>
    <w:rsid w:val="0006459C"/>
    <w:rsid w:val="000661ED"/>
    <w:rsid w:val="000718C4"/>
    <w:rsid w:val="000729B2"/>
    <w:rsid w:val="00074A29"/>
    <w:rsid w:val="00075809"/>
    <w:rsid w:val="00080FF3"/>
    <w:rsid w:val="00082C14"/>
    <w:rsid w:val="00084C47"/>
    <w:rsid w:val="00085726"/>
    <w:rsid w:val="0008754C"/>
    <w:rsid w:val="00087694"/>
    <w:rsid w:val="00087B6E"/>
    <w:rsid w:val="00091404"/>
    <w:rsid w:val="00092B82"/>
    <w:rsid w:val="00092FF2"/>
    <w:rsid w:val="00095324"/>
    <w:rsid w:val="000973FC"/>
    <w:rsid w:val="000A2215"/>
    <w:rsid w:val="000A22F3"/>
    <w:rsid w:val="000A3C74"/>
    <w:rsid w:val="000A458B"/>
    <w:rsid w:val="000A4DDE"/>
    <w:rsid w:val="000A630F"/>
    <w:rsid w:val="000A7504"/>
    <w:rsid w:val="000B11C7"/>
    <w:rsid w:val="000B1A22"/>
    <w:rsid w:val="000B2642"/>
    <w:rsid w:val="000B2E3B"/>
    <w:rsid w:val="000B2FA2"/>
    <w:rsid w:val="000B3034"/>
    <w:rsid w:val="000B32FD"/>
    <w:rsid w:val="000B3B6B"/>
    <w:rsid w:val="000B6F76"/>
    <w:rsid w:val="000B7D4F"/>
    <w:rsid w:val="000C0596"/>
    <w:rsid w:val="000C0D0F"/>
    <w:rsid w:val="000C5F59"/>
    <w:rsid w:val="000C64B7"/>
    <w:rsid w:val="000D0EB1"/>
    <w:rsid w:val="000D0F52"/>
    <w:rsid w:val="000D1CAD"/>
    <w:rsid w:val="000D46DC"/>
    <w:rsid w:val="000D572C"/>
    <w:rsid w:val="000D5BDE"/>
    <w:rsid w:val="000D6C9B"/>
    <w:rsid w:val="000E1F71"/>
    <w:rsid w:val="000E440C"/>
    <w:rsid w:val="000E7677"/>
    <w:rsid w:val="000F0397"/>
    <w:rsid w:val="000F0AA7"/>
    <w:rsid w:val="000F565F"/>
    <w:rsid w:val="000F6BF9"/>
    <w:rsid w:val="000F7359"/>
    <w:rsid w:val="000F747F"/>
    <w:rsid w:val="001004E4"/>
    <w:rsid w:val="00100507"/>
    <w:rsid w:val="00100D90"/>
    <w:rsid w:val="00101D2A"/>
    <w:rsid w:val="00102700"/>
    <w:rsid w:val="00102B44"/>
    <w:rsid w:val="001051EC"/>
    <w:rsid w:val="00105F20"/>
    <w:rsid w:val="00106738"/>
    <w:rsid w:val="00106A3D"/>
    <w:rsid w:val="00113CF7"/>
    <w:rsid w:val="001171BC"/>
    <w:rsid w:val="00117609"/>
    <w:rsid w:val="00120430"/>
    <w:rsid w:val="00122BF3"/>
    <w:rsid w:val="00124648"/>
    <w:rsid w:val="00125F41"/>
    <w:rsid w:val="00130B18"/>
    <w:rsid w:val="00132446"/>
    <w:rsid w:val="00132E45"/>
    <w:rsid w:val="00134A5C"/>
    <w:rsid w:val="00136C6A"/>
    <w:rsid w:val="001414C0"/>
    <w:rsid w:val="00143E34"/>
    <w:rsid w:val="00144A72"/>
    <w:rsid w:val="0014511C"/>
    <w:rsid w:val="0014659B"/>
    <w:rsid w:val="00147230"/>
    <w:rsid w:val="001605CC"/>
    <w:rsid w:val="00160BC5"/>
    <w:rsid w:val="00160C9E"/>
    <w:rsid w:val="00161A51"/>
    <w:rsid w:val="00165B85"/>
    <w:rsid w:val="00166C0E"/>
    <w:rsid w:val="0016712D"/>
    <w:rsid w:val="00167D69"/>
    <w:rsid w:val="00172760"/>
    <w:rsid w:val="00173FA1"/>
    <w:rsid w:val="001744EF"/>
    <w:rsid w:val="0017544D"/>
    <w:rsid w:val="00180A23"/>
    <w:rsid w:val="001818FC"/>
    <w:rsid w:val="00181D36"/>
    <w:rsid w:val="00182550"/>
    <w:rsid w:val="001843A8"/>
    <w:rsid w:val="0018491F"/>
    <w:rsid w:val="00190121"/>
    <w:rsid w:val="00191084"/>
    <w:rsid w:val="00191DA7"/>
    <w:rsid w:val="00195E84"/>
    <w:rsid w:val="00196633"/>
    <w:rsid w:val="00197212"/>
    <w:rsid w:val="00197775"/>
    <w:rsid w:val="001A436B"/>
    <w:rsid w:val="001A60C3"/>
    <w:rsid w:val="001A67F0"/>
    <w:rsid w:val="001B2A1C"/>
    <w:rsid w:val="001B4286"/>
    <w:rsid w:val="001B7B47"/>
    <w:rsid w:val="001C31D6"/>
    <w:rsid w:val="001C398C"/>
    <w:rsid w:val="001C71E7"/>
    <w:rsid w:val="001C72E6"/>
    <w:rsid w:val="001C75B1"/>
    <w:rsid w:val="001D19C9"/>
    <w:rsid w:val="001D2199"/>
    <w:rsid w:val="001D30B3"/>
    <w:rsid w:val="001D327A"/>
    <w:rsid w:val="001D392E"/>
    <w:rsid w:val="001D4D5E"/>
    <w:rsid w:val="001E42C6"/>
    <w:rsid w:val="001E46AD"/>
    <w:rsid w:val="001E4F4B"/>
    <w:rsid w:val="001E588A"/>
    <w:rsid w:val="001E66DC"/>
    <w:rsid w:val="001E73B0"/>
    <w:rsid w:val="001E7D8B"/>
    <w:rsid w:val="001F2E30"/>
    <w:rsid w:val="001F3628"/>
    <w:rsid w:val="001F48F1"/>
    <w:rsid w:val="001F5B2A"/>
    <w:rsid w:val="001F761D"/>
    <w:rsid w:val="00205484"/>
    <w:rsid w:val="00206AF1"/>
    <w:rsid w:val="00211C14"/>
    <w:rsid w:val="0021202A"/>
    <w:rsid w:val="00212E07"/>
    <w:rsid w:val="00215425"/>
    <w:rsid w:val="00215E89"/>
    <w:rsid w:val="00216A98"/>
    <w:rsid w:val="002228F4"/>
    <w:rsid w:val="00225117"/>
    <w:rsid w:val="002252CC"/>
    <w:rsid w:val="002257CD"/>
    <w:rsid w:val="00225E9B"/>
    <w:rsid w:val="00226546"/>
    <w:rsid w:val="00226980"/>
    <w:rsid w:val="00227BE8"/>
    <w:rsid w:val="0023181D"/>
    <w:rsid w:val="00231889"/>
    <w:rsid w:val="00231A79"/>
    <w:rsid w:val="0023297A"/>
    <w:rsid w:val="0023581E"/>
    <w:rsid w:val="00235B86"/>
    <w:rsid w:val="00235C28"/>
    <w:rsid w:val="002373FD"/>
    <w:rsid w:val="00237B8A"/>
    <w:rsid w:val="00240BB3"/>
    <w:rsid w:val="00245787"/>
    <w:rsid w:val="00245EB5"/>
    <w:rsid w:val="00250BA9"/>
    <w:rsid w:val="00253641"/>
    <w:rsid w:val="00254BA9"/>
    <w:rsid w:val="00267C6B"/>
    <w:rsid w:val="0027013F"/>
    <w:rsid w:val="0027363F"/>
    <w:rsid w:val="00274067"/>
    <w:rsid w:val="00275539"/>
    <w:rsid w:val="00275D29"/>
    <w:rsid w:val="0028093C"/>
    <w:rsid w:val="00280CDE"/>
    <w:rsid w:val="00280F9F"/>
    <w:rsid w:val="00282D17"/>
    <w:rsid w:val="00284420"/>
    <w:rsid w:val="00287553"/>
    <w:rsid w:val="00291054"/>
    <w:rsid w:val="00292ACF"/>
    <w:rsid w:val="00293148"/>
    <w:rsid w:val="00293D30"/>
    <w:rsid w:val="00294811"/>
    <w:rsid w:val="00295126"/>
    <w:rsid w:val="0029561D"/>
    <w:rsid w:val="00296483"/>
    <w:rsid w:val="00297E14"/>
    <w:rsid w:val="002A0634"/>
    <w:rsid w:val="002A19F8"/>
    <w:rsid w:val="002A1A01"/>
    <w:rsid w:val="002A2A20"/>
    <w:rsid w:val="002A4B55"/>
    <w:rsid w:val="002A50CB"/>
    <w:rsid w:val="002A640A"/>
    <w:rsid w:val="002A66A2"/>
    <w:rsid w:val="002A6BB9"/>
    <w:rsid w:val="002A6CCB"/>
    <w:rsid w:val="002A7CB3"/>
    <w:rsid w:val="002A7FB8"/>
    <w:rsid w:val="002B3241"/>
    <w:rsid w:val="002B33D7"/>
    <w:rsid w:val="002B355F"/>
    <w:rsid w:val="002B38D6"/>
    <w:rsid w:val="002B5D77"/>
    <w:rsid w:val="002B6A16"/>
    <w:rsid w:val="002B7204"/>
    <w:rsid w:val="002B76C3"/>
    <w:rsid w:val="002C0428"/>
    <w:rsid w:val="002C1852"/>
    <w:rsid w:val="002C285F"/>
    <w:rsid w:val="002C2A56"/>
    <w:rsid w:val="002C44DF"/>
    <w:rsid w:val="002C60FB"/>
    <w:rsid w:val="002D0745"/>
    <w:rsid w:val="002D3355"/>
    <w:rsid w:val="002D50E8"/>
    <w:rsid w:val="002E20A9"/>
    <w:rsid w:val="002E2CA5"/>
    <w:rsid w:val="002E2FF1"/>
    <w:rsid w:val="002E55A6"/>
    <w:rsid w:val="002E5811"/>
    <w:rsid w:val="002E7C68"/>
    <w:rsid w:val="002F341D"/>
    <w:rsid w:val="002F3EE9"/>
    <w:rsid w:val="003003A9"/>
    <w:rsid w:val="003012A2"/>
    <w:rsid w:val="00303CFB"/>
    <w:rsid w:val="00304451"/>
    <w:rsid w:val="00305C43"/>
    <w:rsid w:val="003070E4"/>
    <w:rsid w:val="003112FE"/>
    <w:rsid w:val="0031286D"/>
    <w:rsid w:val="003164CC"/>
    <w:rsid w:val="00316AFF"/>
    <w:rsid w:val="003207A9"/>
    <w:rsid w:val="00320A32"/>
    <w:rsid w:val="00320CAA"/>
    <w:rsid w:val="0032107E"/>
    <w:rsid w:val="003218B8"/>
    <w:rsid w:val="00321F7D"/>
    <w:rsid w:val="00322D05"/>
    <w:rsid w:val="00322DBF"/>
    <w:rsid w:val="003238C1"/>
    <w:rsid w:val="00324274"/>
    <w:rsid w:val="00324F48"/>
    <w:rsid w:val="00326375"/>
    <w:rsid w:val="003263BC"/>
    <w:rsid w:val="003264F2"/>
    <w:rsid w:val="00331080"/>
    <w:rsid w:val="00331F25"/>
    <w:rsid w:val="00333A9A"/>
    <w:rsid w:val="003349F8"/>
    <w:rsid w:val="00334B31"/>
    <w:rsid w:val="00335C1C"/>
    <w:rsid w:val="00337B24"/>
    <w:rsid w:val="00337BFF"/>
    <w:rsid w:val="00340079"/>
    <w:rsid w:val="0034091D"/>
    <w:rsid w:val="00340DD4"/>
    <w:rsid w:val="003410FA"/>
    <w:rsid w:val="0034353E"/>
    <w:rsid w:val="00343DF2"/>
    <w:rsid w:val="0034484A"/>
    <w:rsid w:val="003454EC"/>
    <w:rsid w:val="00345E56"/>
    <w:rsid w:val="00347C8E"/>
    <w:rsid w:val="003501D8"/>
    <w:rsid w:val="0035087A"/>
    <w:rsid w:val="00351132"/>
    <w:rsid w:val="00352240"/>
    <w:rsid w:val="003606F9"/>
    <w:rsid w:val="0036136B"/>
    <w:rsid w:val="00363133"/>
    <w:rsid w:val="00363661"/>
    <w:rsid w:val="00363788"/>
    <w:rsid w:val="00366E4A"/>
    <w:rsid w:val="00367088"/>
    <w:rsid w:val="003740F9"/>
    <w:rsid w:val="003765DA"/>
    <w:rsid w:val="00377528"/>
    <w:rsid w:val="00377FF7"/>
    <w:rsid w:val="0038003F"/>
    <w:rsid w:val="00380EB8"/>
    <w:rsid w:val="00381492"/>
    <w:rsid w:val="00383E49"/>
    <w:rsid w:val="00384198"/>
    <w:rsid w:val="00386AF6"/>
    <w:rsid w:val="0039241F"/>
    <w:rsid w:val="00392A0C"/>
    <w:rsid w:val="003936A4"/>
    <w:rsid w:val="00393911"/>
    <w:rsid w:val="00393EB0"/>
    <w:rsid w:val="00397D07"/>
    <w:rsid w:val="003A0742"/>
    <w:rsid w:val="003A11A6"/>
    <w:rsid w:val="003A1AB4"/>
    <w:rsid w:val="003A4973"/>
    <w:rsid w:val="003A4B9F"/>
    <w:rsid w:val="003A53DF"/>
    <w:rsid w:val="003B23FE"/>
    <w:rsid w:val="003B3269"/>
    <w:rsid w:val="003B4522"/>
    <w:rsid w:val="003B4981"/>
    <w:rsid w:val="003C3204"/>
    <w:rsid w:val="003C4041"/>
    <w:rsid w:val="003C406D"/>
    <w:rsid w:val="003C4243"/>
    <w:rsid w:val="003C575E"/>
    <w:rsid w:val="003C6A73"/>
    <w:rsid w:val="003C6F5D"/>
    <w:rsid w:val="003D1250"/>
    <w:rsid w:val="003D3BC8"/>
    <w:rsid w:val="003D6204"/>
    <w:rsid w:val="003E32E6"/>
    <w:rsid w:val="003E3370"/>
    <w:rsid w:val="003E40EA"/>
    <w:rsid w:val="003E4330"/>
    <w:rsid w:val="003E46D9"/>
    <w:rsid w:val="003E482D"/>
    <w:rsid w:val="003F0291"/>
    <w:rsid w:val="003F10EC"/>
    <w:rsid w:val="003F1F04"/>
    <w:rsid w:val="003F3F12"/>
    <w:rsid w:val="003F40A0"/>
    <w:rsid w:val="003F7D3B"/>
    <w:rsid w:val="004004F6"/>
    <w:rsid w:val="00400D89"/>
    <w:rsid w:val="004028AC"/>
    <w:rsid w:val="004039E0"/>
    <w:rsid w:val="00404911"/>
    <w:rsid w:val="00404F4A"/>
    <w:rsid w:val="004060D2"/>
    <w:rsid w:val="004067DA"/>
    <w:rsid w:val="00407289"/>
    <w:rsid w:val="004074F7"/>
    <w:rsid w:val="00407C6A"/>
    <w:rsid w:val="0041048D"/>
    <w:rsid w:val="00415BE6"/>
    <w:rsid w:val="004212DF"/>
    <w:rsid w:val="00422D97"/>
    <w:rsid w:val="00430739"/>
    <w:rsid w:val="00430FC1"/>
    <w:rsid w:val="004330CE"/>
    <w:rsid w:val="00433A8A"/>
    <w:rsid w:val="00433AD0"/>
    <w:rsid w:val="00436F86"/>
    <w:rsid w:val="0043750D"/>
    <w:rsid w:val="00440290"/>
    <w:rsid w:val="00440D3F"/>
    <w:rsid w:val="00441B1E"/>
    <w:rsid w:val="00441E48"/>
    <w:rsid w:val="0044319F"/>
    <w:rsid w:val="004436F9"/>
    <w:rsid w:val="004446BA"/>
    <w:rsid w:val="004465C8"/>
    <w:rsid w:val="00447989"/>
    <w:rsid w:val="00447D1E"/>
    <w:rsid w:val="0045043D"/>
    <w:rsid w:val="0045217A"/>
    <w:rsid w:val="00454EFF"/>
    <w:rsid w:val="0045626B"/>
    <w:rsid w:val="0045713D"/>
    <w:rsid w:val="00460EF3"/>
    <w:rsid w:val="0046190B"/>
    <w:rsid w:val="00462194"/>
    <w:rsid w:val="004654C5"/>
    <w:rsid w:val="00465C67"/>
    <w:rsid w:val="00467622"/>
    <w:rsid w:val="00467D19"/>
    <w:rsid w:val="00470080"/>
    <w:rsid w:val="00471EE2"/>
    <w:rsid w:val="004755D7"/>
    <w:rsid w:val="00475632"/>
    <w:rsid w:val="00476569"/>
    <w:rsid w:val="00480BAB"/>
    <w:rsid w:val="004816C9"/>
    <w:rsid w:val="00482356"/>
    <w:rsid w:val="00482AF3"/>
    <w:rsid w:val="004871F6"/>
    <w:rsid w:val="00491296"/>
    <w:rsid w:val="00491B5E"/>
    <w:rsid w:val="004925D1"/>
    <w:rsid w:val="00493A0C"/>
    <w:rsid w:val="00494DD6"/>
    <w:rsid w:val="00495D15"/>
    <w:rsid w:val="00496A63"/>
    <w:rsid w:val="004A0050"/>
    <w:rsid w:val="004A0B45"/>
    <w:rsid w:val="004A49AE"/>
    <w:rsid w:val="004A4E97"/>
    <w:rsid w:val="004A50B9"/>
    <w:rsid w:val="004A58FA"/>
    <w:rsid w:val="004A60E2"/>
    <w:rsid w:val="004A6C96"/>
    <w:rsid w:val="004A6E01"/>
    <w:rsid w:val="004B0186"/>
    <w:rsid w:val="004B1B9C"/>
    <w:rsid w:val="004B3C03"/>
    <w:rsid w:val="004B73EB"/>
    <w:rsid w:val="004C1BCF"/>
    <w:rsid w:val="004C7709"/>
    <w:rsid w:val="004D20CE"/>
    <w:rsid w:val="004D308A"/>
    <w:rsid w:val="004D3D58"/>
    <w:rsid w:val="004D41FA"/>
    <w:rsid w:val="004D4F94"/>
    <w:rsid w:val="004E07B0"/>
    <w:rsid w:val="004E1173"/>
    <w:rsid w:val="004E332A"/>
    <w:rsid w:val="004F05DE"/>
    <w:rsid w:val="004F3EEE"/>
    <w:rsid w:val="004F4F20"/>
    <w:rsid w:val="004F521D"/>
    <w:rsid w:val="004F75AD"/>
    <w:rsid w:val="00500C77"/>
    <w:rsid w:val="005013FC"/>
    <w:rsid w:val="00501D81"/>
    <w:rsid w:val="0050266C"/>
    <w:rsid w:val="00502DE7"/>
    <w:rsid w:val="00503894"/>
    <w:rsid w:val="00504232"/>
    <w:rsid w:val="00504454"/>
    <w:rsid w:val="0050495D"/>
    <w:rsid w:val="005049CC"/>
    <w:rsid w:val="00504CC3"/>
    <w:rsid w:val="00505152"/>
    <w:rsid w:val="00505192"/>
    <w:rsid w:val="005053CA"/>
    <w:rsid w:val="00505AD5"/>
    <w:rsid w:val="00505B0D"/>
    <w:rsid w:val="00507ABB"/>
    <w:rsid w:val="0051037D"/>
    <w:rsid w:val="00511E2F"/>
    <w:rsid w:val="005121A9"/>
    <w:rsid w:val="00512821"/>
    <w:rsid w:val="00513125"/>
    <w:rsid w:val="00513872"/>
    <w:rsid w:val="00513932"/>
    <w:rsid w:val="00520923"/>
    <w:rsid w:val="00520EB7"/>
    <w:rsid w:val="005227C1"/>
    <w:rsid w:val="00522A05"/>
    <w:rsid w:val="00523469"/>
    <w:rsid w:val="0053040B"/>
    <w:rsid w:val="00530A31"/>
    <w:rsid w:val="0053178A"/>
    <w:rsid w:val="00531CA2"/>
    <w:rsid w:val="00533977"/>
    <w:rsid w:val="0053696E"/>
    <w:rsid w:val="0054046F"/>
    <w:rsid w:val="00540902"/>
    <w:rsid w:val="00542A9E"/>
    <w:rsid w:val="00543835"/>
    <w:rsid w:val="005475BF"/>
    <w:rsid w:val="00550775"/>
    <w:rsid w:val="005512D4"/>
    <w:rsid w:val="00552083"/>
    <w:rsid w:val="00553037"/>
    <w:rsid w:val="00553F92"/>
    <w:rsid w:val="00556683"/>
    <w:rsid w:val="00557BC9"/>
    <w:rsid w:val="00561420"/>
    <w:rsid w:val="00564710"/>
    <w:rsid w:val="00565500"/>
    <w:rsid w:val="00565CF9"/>
    <w:rsid w:val="005660B4"/>
    <w:rsid w:val="0056687E"/>
    <w:rsid w:val="005670C2"/>
    <w:rsid w:val="005674A2"/>
    <w:rsid w:val="005768AD"/>
    <w:rsid w:val="00580218"/>
    <w:rsid w:val="00580FCD"/>
    <w:rsid w:val="00582D59"/>
    <w:rsid w:val="0058361A"/>
    <w:rsid w:val="0058448B"/>
    <w:rsid w:val="005847B8"/>
    <w:rsid w:val="00585351"/>
    <w:rsid w:val="00595AE3"/>
    <w:rsid w:val="005963BD"/>
    <w:rsid w:val="005A0198"/>
    <w:rsid w:val="005A0375"/>
    <w:rsid w:val="005A08C1"/>
    <w:rsid w:val="005A0ADC"/>
    <w:rsid w:val="005A1040"/>
    <w:rsid w:val="005A1BD1"/>
    <w:rsid w:val="005A6B70"/>
    <w:rsid w:val="005B4619"/>
    <w:rsid w:val="005B46A4"/>
    <w:rsid w:val="005B6F8D"/>
    <w:rsid w:val="005C0AAC"/>
    <w:rsid w:val="005C3FFC"/>
    <w:rsid w:val="005C4215"/>
    <w:rsid w:val="005C5536"/>
    <w:rsid w:val="005C6040"/>
    <w:rsid w:val="005C6863"/>
    <w:rsid w:val="005D18B0"/>
    <w:rsid w:val="005D18C1"/>
    <w:rsid w:val="005D1A36"/>
    <w:rsid w:val="005D2C84"/>
    <w:rsid w:val="005D4434"/>
    <w:rsid w:val="005D6BDF"/>
    <w:rsid w:val="005D7E85"/>
    <w:rsid w:val="005E1A28"/>
    <w:rsid w:val="005E2994"/>
    <w:rsid w:val="005E3180"/>
    <w:rsid w:val="005E44D3"/>
    <w:rsid w:val="005E466D"/>
    <w:rsid w:val="005E53BE"/>
    <w:rsid w:val="005E5F16"/>
    <w:rsid w:val="005E7490"/>
    <w:rsid w:val="005E7FCD"/>
    <w:rsid w:val="005F09A5"/>
    <w:rsid w:val="005F229D"/>
    <w:rsid w:val="005F24B6"/>
    <w:rsid w:val="005F668E"/>
    <w:rsid w:val="00600C62"/>
    <w:rsid w:val="006015A9"/>
    <w:rsid w:val="00601C1B"/>
    <w:rsid w:val="00603453"/>
    <w:rsid w:val="0060540B"/>
    <w:rsid w:val="00606572"/>
    <w:rsid w:val="006077D0"/>
    <w:rsid w:val="00610712"/>
    <w:rsid w:val="0061090C"/>
    <w:rsid w:val="0061142D"/>
    <w:rsid w:val="00612530"/>
    <w:rsid w:val="00612984"/>
    <w:rsid w:val="0061424C"/>
    <w:rsid w:val="00617541"/>
    <w:rsid w:val="00617C34"/>
    <w:rsid w:val="00617F86"/>
    <w:rsid w:val="0062127A"/>
    <w:rsid w:val="00621EFE"/>
    <w:rsid w:val="00622DA5"/>
    <w:rsid w:val="00631116"/>
    <w:rsid w:val="006336DD"/>
    <w:rsid w:val="00633998"/>
    <w:rsid w:val="00633D92"/>
    <w:rsid w:val="0063697C"/>
    <w:rsid w:val="00637531"/>
    <w:rsid w:val="0064029F"/>
    <w:rsid w:val="006406C1"/>
    <w:rsid w:val="0064114F"/>
    <w:rsid w:val="006420D3"/>
    <w:rsid w:val="00642679"/>
    <w:rsid w:val="00642930"/>
    <w:rsid w:val="00643A2D"/>
    <w:rsid w:val="0064487F"/>
    <w:rsid w:val="00650C72"/>
    <w:rsid w:val="006512AD"/>
    <w:rsid w:val="00651E49"/>
    <w:rsid w:val="006558EA"/>
    <w:rsid w:val="00655D96"/>
    <w:rsid w:val="00656873"/>
    <w:rsid w:val="00656AA1"/>
    <w:rsid w:val="0066176D"/>
    <w:rsid w:val="0066323F"/>
    <w:rsid w:val="0066568B"/>
    <w:rsid w:val="00665815"/>
    <w:rsid w:val="00666E48"/>
    <w:rsid w:val="006769BE"/>
    <w:rsid w:val="00676B42"/>
    <w:rsid w:val="00681EFD"/>
    <w:rsid w:val="0068319A"/>
    <w:rsid w:val="0068371D"/>
    <w:rsid w:val="00684F3D"/>
    <w:rsid w:val="00692888"/>
    <w:rsid w:val="006A1B4C"/>
    <w:rsid w:val="006A1F08"/>
    <w:rsid w:val="006A23FD"/>
    <w:rsid w:val="006A2D9E"/>
    <w:rsid w:val="006A2DA3"/>
    <w:rsid w:val="006A3508"/>
    <w:rsid w:val="006B18F4"/>
    <w:rsid w:val="006B60F1"/>
    <w:rsid w:val="006B796C"/>
    <w:rsid w:val="006C03E7"/>
    <w:rsid w:val="006C1459"/>
    <w:rsid w:val="006C241E"/>
    <w:rsid w:val="006C6E15"/>
    <w:rsid w:val="006C72A3"/>
    <w:rsid w:val="006C7F7C"/>
    <w:rsid w:val="006D0235"/>
    <w:rsid w:val="006D0F75"/>
    <w:rsid w:val="006D148A"/>
    <w:rsid w:val="006D4776"/>
    <w:rsid w:val="006D7A0D"/>
    <w:rsid w:val="006E061E"/>
    <w:rsid w:val="006E20BF"/>
    <w:rsid w:val="006E6721"/>
    <w:rsid w:val="006E7FAA"/>
    <w:rsid w:val="006F25E4"/>
    <w:rsid w:val="006F3D42"/>
    <w:rsid w:val="006F586C"/>
    <w:rsid w:val="006F5900"/>
    <w:rsid w:val="006F6FFE"/>
    <w:rsid w:val="00700C28"/>
    <w:rsid w:val="00702913"/>
    <w:rsid w:val="00703016"/>
    <w:rsid w:val="007049C3"/>
    <w:rsid w:val="00705D08"/>
    <w:rsid w:val="00707259"/>
    <w:rsid w:val="0070739D"/>
    <w:rsid w:val="00710C0C"/>
    <w:rsid w:val="00711CBA"/>
    <w:rsid w:val="00714E60"/>
    <w:rsid w:val="00715D92"/>
    <w:rsid w:val="00715FE4"/>
    <w:rsid w:val="007212D3"/>
    <w:rsid w:val="00722F0B"/>
    <w:rsid w:val="0072477D"/>
    <w:rsid w:val="0072645F"/>
    <w:rsid w:val="00727115"/>
    <w:rsid w:val="007319E2"/>
    <w:rsid w:val="00735B65"/>
    <w:rsid w:val="00736463"/>
    <w:rsid w:val="0074158C"/>
    <w:rsid w:val="007418E2"/>
    <w:rsid w:val="0074408D"/>
    <w:rsid w:val="00744CDB"/>
    <w:rsid w:val="00745E25"/>
    <w:rsid w:val="00747445"/>
    <w:rsid w:val="007505EB"/>
    <w:rsid w:val="00751354"/>
    <w:rsid w:val="0075283D"/>
    <w:rsid w:val="00752901"/>
    <w:rsid w:val="007530BF"/>
    <w:rsid w:val="007534E3"/>
    <w:rsid w:val="007539AB"/>
    <w:rsid w:val="00753C0A"/>
    <w:rsid w:val="00753E0E"/>
    <w:rsid w:val="0075400A"/>
    <w:rsid w:val="007545B9"/>
    <w:rsid w:val="00760952"/>
    <w:rsid w:val="00761089"/>
    <w:rsid w:val="0076493B"/>
    <w:rsid w:val="00764F67"/>
    <w:rsid w:val="00767BB9"/>
    <w:rsid w:val="00767C96"/>
    <w:rsid w:val="00767D2A"/>
    <w:rsid w:val="007706CC"/>
    <w:rsid w:val="007728B5"/>
    <w:rsid w:val="0077554A"/>
    <w:rsid w:val="00775763"/>
    <w:rsid w:val="00777FC2"/>
    <w:rsid w:val="00782832"/>
    <w:rsid w:val="00783C7A"/>
    <w:rsid w:val="00784B55"/>
    <w:rsid w:val="00784CC8"/>
    <w:rsid w:val="00790734"/>
    <w:rsid w:val="007909B6"/>
    <w:rsid w:val="00791BFC"/>
    <w:rsid w:val="00791F06"/>
    <w:rsid w:val="00792132"/>
    <w:rsid w:val="00792D7E"/>
    <w:rsid w:val="00793005"/>
    <w:rsid w:val="00794277"/>
    <w:rsid w:val="00795495"/>
    <w:rsid w:val="0079559A"/>
    <w:rsid w:val="00797FD9"/>
    <w:rsid w:val="007A068F"/>
    <w:rsid w:val="007A0857"/>
    <w:rsid w:val="007A1827"/>
    <w:rsid w:val="007A50B1"/>
    <w:rsid w:val="007A554B"/>
    <w:rsid w:val="007A63E8"/>
    <w:rsid w:val="007B1239"/>
    <w:rsid w:val="007B14BC"/>
    <w:rsid w:val="007B341D"/>
    <w:rsid w:val="007B3700"/>
    <w:rsid w:val="007B5522"/>
    <w:rsid w:val="007B6F58"/>
    <w:rsid w:val="007B7502"/>
    <w:rsid w:val="007C12DE"/>
    <w:rsid w:val="007C58B1"/>
    <w:rsid w:val="007C5B57"/>
    <w:rsid w:val="007C7054"/>
    <w:rsid w:val="007C74C3"/>
    <w:rsid w:val="007C7EB6"/>
    <w:rsid w:val="007D1296"/>
    <w:rsid w:val="007D231E"/>
    <w:rsid w:val="007D2415"/>
    <w:rsid w:val="007D273F"/>
    <w:rsid w:val="007D483E"/>
    <w:rsid w:val="007D6648"/>
    <w:rsid w:val="007D6F21"/>
    <w:rsid w:val="007E09E6"/>
    <w:rsid w:val="007E2343"/>
    <w:rsid w:val="007E28F4"/>
    <w:rsid w:val="007E5E01"/>
    <w:rsid w:val="007E7B6B"/>
    <w:rsid w:val="007F19B1"/>
    <w:rsid w:val="007F263D"/>
    <w:rsid w:val="007F6161"/>
    <w:rsid w:val="007F7067"/>
    <w:rsid w:val="00800DC0"/>
    <w:rsid w:val="00801FE1"/>
    <w:rsid w:val="00802294"/>
    <w:rsid w:val="00804094"/>
    <w:rsid w:val="00804CB7"/>
    <w:rsid w:val="00805FD3"/>
    <w:rsid w:val="00806E23"/>
    <w:rsid w:val="00806FD2"/>
    <w:rsid w:val="008077AD"/>
    <w:rsid w:val="008077F3"/>
    <w:rsid w:val="008121A8"/>
    <w:rsid w:val="00812CB0"/>
    <w:rsid w:val="00812F0C"/>
    <w:rsid w:val="0081438E"/>
    <w:rsid w:val="00815982"/>
    <w:rsid w:val="00815E54"/>
    <w:rsid w:val="00816596"/>
    <w:rsid w:val="008165DE"/>
    <w:rsid w:val="00824164"/>
    <w:rsid w:val="0082520E"/>
    <w:rsid w:val="0082522B"/>
    <w:rsid w:val="00826699"/>
    <w:rsid w:val="00826A60"/>
    <w:rsid w:val="00827A75"/>
    <w:rsid w:val="0083229D"/>
    <w:rsid w:val="00833C57"/>
    <w:rsid w:val="00834422"/>
    <w:rsid w:val="0083610B"/>
    <w:rsid w:val="0083718B"/>
    <w:rsid w:val="008412AB"/>
    <w:rsid w:val="0085065B"/>
    <w:rsid w:val="00851615"/>
    <w:rsid w:val="008528D6"/>
    <w:rsid w:val="00857FF3"/>
    <w:rsid w:val="0086089A"/>
    <w:rsid w:val="00861197"/>
    <w:rsid w:val="008625D7"/>
    <w:rsid w:val="00865814"/>
    <w:rsid w:val="0086648B"/>
    <w:rsid w:val="00866765"/>
    <w:rsid w:val="00867652"/>
    <w:rsid w:val="00871E10"/>
    <w:rsid w:val="00872502"/>
    <w:rsid w:val="00872787"/>
    <w:rsid w:val="00872EB4"/>
    <w:rsid w:val="0087454C"/>
    <w:rsid w:val="008775DD"/>
    <w:rsid w:val="00881B7C"/>
    <w:rsid w:val="00882EC2"/>
    <w:rsid w:val="00884E18"/>
    <w:rsid w:val="00885277"/>
    <w:rsid w:val="00886D95"/>
    <w:rsid w:val="008909DE"/>
    <w:rsid w:val="00893168"/>
    <w:rsid w:val="00895E37"/>
    <w:rsid w:val="00896041"/>
    <w:rsid w:val="00896595"/>
    <w:rsid w:val="0089707A"/>
    <w:rsid w:val="0089763A"/>
    <w:rsid w:val="00897796"/>
    <w:rsid w:val="00897CCF"/>
    <w:rsid w:val="008A020D"/>
    <w:rsid w:val="008A2026"/>
    <w:rsid w:val="008A27FA"/>
    <w:rsid w:val="008A28A8"/>
    <w:rsid w:val="008A2E6C"/>
    <w:rsid w:val="008A391D"/>
    <w:rsid w:val="008A462A"/>
    <w:rsid w:val="008A4A6A"/>
    <w:rsid w:val="008A582E"/>
    <w:rsid w:val="008A7050"/>
    <w:rsid w:val="008A721E"/>
    <w:rsid w:val="008B251A"/>
    <w:rsid w:val="008B3E2D"/>
    <w:rsid w:val="008B3E3A"/>
    <w:rsid w:val="008B612A"/>
    <w:rsid w:val="008C225A"/>
    <w:rsid w:val="008C30FB"/>
    <w:rsid w:val="008C5DDA"/>
    <w:rsid w:val="008C759C"/>
    <w:rsid w:val="008D05AE"/>
    <w:rsid w:val="008D0F23"/>
    <w:rsid w:val="008D1A75"/>
    <w:rsid w:val="008D2BBE"/>
    <w:rsid w:val="008D388F"/>
    <w:rsid w:val="008D3C9A"/>
    <w:rsid w:val="008D7BD7"/>
    <w:rsid w:val="008E2961"/>
    <w:rsid w:val="008E51A3"/>
    <w:rsid w:val="008E5F53"/>
    <w:rsid w:val="008E6F31"/>
    <w:rsid w:val="008E756C"/>
    <w:rsid w:val="008E7E81"/>
    <w:rsid w:val="008F3842"/>
    <w:rsid w:val="008F389B"/>
    <w:rsid w:val="008F3AAD"/>
    <w:rsid w:val="0090132E"/>
    <w:rsid w:val="009025DE"/>
    <w:rsid w:val="00902A0F"/>
    <w:rsid w:val="0090301E"/>
    <w:rsid w:val="00904490"/>
    <w:rsid w:val="00905A96"/>
    <w:rsid w:val="00905B97"/>
    <w:rsid w:val="00905DE4"/>
    <w:rsid w:val="0090690D"/>
    <w:rsid w:val="0090700B"/>
    <w:rsid w:val="00907B66"/>
    <w:rsid w:val="00911263"/>
    <w:rsid w:val="009118DE"/>
    <w:rsid w:val="009167C5"/>
    <w:rsid w:val="00917D2A"/>
    <w:rsid w:val="009206BA"/>
    <w:rsid w:val="009208C8"/>
    <w:rsid w:val="00921BF1"/>
    <w:rsid w:val="009250A7"/>
    <w:rsid w:val="009251BD"/>
    <w:rsid w:val="00925DD1"/>
    <w:rsid w:val="00926983"/>
    <w:rsid w:val="00927E09"/>
    <w:rsid w:val="00930256"/>
    <w:rsid w:val="009308F6"/>
    <w:rsid w:val="009314E7"/>
    <w:rsid w:val="00932241"/>
    <w:rsid w:val="009331FB"/>
    <w:rsid w:val="00933906"/>
    <w:rsid w:val="0093412C"/>
    <w:rsid w:val="00937F86"/>
    <w:rsid w:val="00946EF2"/>
    <w:rsid w:val="009517A7"/>
    <w:rsid w:val="0095319C"/>
    <w:rsid w:val="0095369D"/>
    <w:rsid w:val="00954B8C"/>
    <w:rsid w:val="00955196"/>
    <w:rsid w:val="009561DB"/>
    <w:rsid w:val="00956CD5"/>
    <w:rsid w:val="00962598"/>
    <w:rsid w:val="009635DF"/>
    <w:rsid w:val="00963973"/>
    <w:rsid w:val="00964F60"/>
    <w:rsid w:val="00965E60"/>
    <w:rsid w:val="009660D7"/>
    <w:rsid w:val="0096618B"/>
    <w:rsid w:val="009676CD"/>
    <w:rsid w:val="009676F7"/>
    <w:rsid w:val="00972451"/>
    <w:rsid w:val="0097466A"/>
    <w:rsid w:val="00975E47"/>
    <w:rsid w:val="009839BC"/>
    <w:rsid w:val="00985DC8"/>
    <w:rsid w:val="0098623E"/>
    <w:rsid w:val="00990547"/>
    <w:rsid w:val="00991378"/>
    <w:rsid w:val="0099238F"/>
    <w:rsid w:val="00992780"/>
    <w:rsid w:val="009957AA"/>
    <w:rsid w:val="009A07E0"/>
    <w:rsid w:val="009A1F7A"/>
    <w:rsid w:val="009A35B3"/>
    <w:rsid w:val="009A5C0B"/>
    <w:rsid w:val="009A61BB"/>
    <w:rsid w:val="009A7A9B"/>
    <w:rsid w:val="009B0A04"/>
    <w:rsid w:val="009B15B4"/>
    <w:rsid w:val="009B24B3"/>
    <w:rsid w:val="009B25C2"/>
    <w:rsid w:val="009B5FEA"/>
    <w:rsid w:val="009B6033"/>
    <w:rsid w:val="009B729F"/>
    <w:rsid w:val="009B7BE1"/>
    <w:rsid w:val="009C6B22"/>
    <w:rsid w:val="009D0AF9"/>
    <w:rsid w:val="009D0DD3"/>
    <w:rsid w:val="009D1A59"/>
    <w:rsid w:val="009D30EE"/>
    <w:rsid w:val="009D31A0"/>
    <w:rsid w:val="009D51CA"/>
    <w:rsid w:val="009D56EB"/>
    <w:rsid w:val="009E0574"/>
    <w:rsid w:val="009E1068"/>
    <w:rsid w:val="009E265F"/>
    <w:rsid w:val="009E3891"/>
    <w:rsid w:val="009E5A37"/>
    <w:rsid w:val="009E5A40"/>
    <w:rsid w:val="009E63FD"/>
    <w:rsid w:val="009F179D"/>
    <w:rsid w:val="009F2FE4"/>
    <w:rsid w:val="009F33DC"/>
    <w:rsid w:val="009F4DCD"/>
    <w:rsid w:val="009F521F"/>
    <w:rsid w:val="009F6CE2"/>
    <w:rsid w:val="009F7D76"/>
    <w:rsid w:val="009F7FBB"/>
    <w:rsid w:val="00A01739"/>
    <w:rsid w:val="00A01D6F"/>
    <w:rsid w:val="00A02C0F"/>
    <w:rsid w:val="00A036B2"/>
    <w:rsid w:val="00A03AAD"/>
    <w:rsid w:val="00A03C1D"/>
    <w:rsid w:val="00A04A3C"/>
    <w:rsid w:val="00A05D32"/>
    <w:rsid w:val="00A05F91"/>
    <w:rsid w:val="00A061CB"/>
    <w:rsid w:val="00A10147"/>
    <w:rsid w:val="00A12261"/>
    <w:rsid w:val="00A15203"/>
    <w:rsid w:val="00A162DA"/>
    <w:rsid w:val="00A16321"/>
    <w:rsid w:val="00A17136"/>
    <w:rsid w:val="00A20453"/>
    <w:rsid w:val="00A245FE"/>
    <w:rsid w:val="00A24E19"/>
    <w:rsid w:val="00A2582B"/>
    <w:rsid w:val="00A271B2"/>
    <w:rsid w:val="00A32140"/>
    <w:rsid w:val="00A33250"/>
    <w:rsid w:val="00A33B9A"/>
    <w:rsid w:val="00A34B29"/>
    <w:rsid w:val="00A355B8"/>
    <w:rsid w:val="00A36300"/>
    <w:rsid w:val="00A3651D"/>
    <w:rsid w:val="00A40F3C"/>
    <w:rsid w:val="00A41155"/>
    <w:rsid w:val="00A41821"/>
    <w:rsid w:val="00A444C4"/>
    <w:rsid w:val="00A44591"/>
    <w:rsid w:val="00A44BC8"/>
    <w:rsid w:val="00A459E0"/>
    <w:rsid w:val="00A45FB4"/>
    <w:rsid w:val="00A46430"/>
    <w:rsid w:val="00A47B8E"/>
    <w:rsid w:val="00A50636"/>
    <w:rsid w:val="00A5275F"/>
    <w:rsid w:val="00A531C0"/>
    <w:rsid w:val="00A536F1"/>
    <w:rsid w:val="00A54D51"/>
    <w:rsid w:val="00A55D41"/>
    <w:rsid w:val="00A57DD1"/>
    <w:rsid w:val="00A57EEA"/>
    <w:rsid w:val="00A608CE"/>
    <w:rsid w:val="00A61548"/>
    <w:rsid w:val="00A61F15"/>
    <w:rsid w:val="00A6318D"/>
    <w:rsid w:val="00A64E88"/>
    <w:rsid w:val="00A665EC"/>
    <w:rsid w:val="00A70582"/>
    <w:rsid w:val="00A727FE"/>
    <w:rsid w:val="00A746C0"/>
    <w:rsid w:val="00A75885"/>
    <w:rsid w:val="00A76A54"/>
    <w:rsid w:val="00A8239F"/>
    <w:rsid w:val="00A8588B"/>
    <w:rsid w:val="00A85E4B"/>
    <w:rsid w:val="00A90630"/>
    <w:rsid w:val="00A91F35"/>
    <w:rsid w:val="00A930E4"/>
    <w:rsid w:val="00A93297"/>
    <w:rsid w:val="00A935E9"/>
    <w:rsid w:val="00A93BAC"/>
    <w:rsid w:val="00A97840"/>
    <w:rsid w:val="00AA2265"/>
    <w:rsid w:val="00AA6745"/>
    <w:rsid w:val="00AA7514"/>
    <w:rsid w:val="00AA7523"/>
    <w:rsid w:val="00AB06A0"/>
    <w:rsid w:val="00AB1044"/>
    <w:rsid w:val="00AB1258"/>
    <w:rsid w:val="00AB2A4E"/>
    <w:rsid w:val="00AB34A7"/>
    <w:rsid w:val="00AB3AB3"/>
    <w:rsid w:val="00AB440D"/>
    <w:rsid w:val="00AB69A6"/>
    <w:rsid w:val="00AC27C3"/>
    <w:rsid w:val="00AC3812"/>
    <w:rsid w:val="00AC4D4E"/>
    <w:rsid w:val="00AC55B0"/>
    <w:rsid w:val="00AC5F42"/>
    <w:rsid w:val="00AD059B"/>
    <w:rsid w:val="00AD0FEF"/>
    <w:rsid w:val="00AD184E"/>
    <w:rsid w:val="00AD2BE7"/>
    <w:rsid w:val="00AD3103"/>
    <w:rsid w:val="00AD3B98"/>
    <w:rsid w:val="00AD53D7"/>
    <w:rsid w:val="00AD582A"/>
    <w:rsid w:val="00AD5997"/>
    <w:rsid w:val="00AD5FB4"/>
    <w:rsid w:val="00AD61DF"/>
    <w:rsid w:val="00AD71F1"/>
    <w:rsid w:val="00AE151C"/>
    <w:rsid w:val="00AE1747"/>
    <w:rsid w:val="00AE17A4"/>
    <w:rsid w:val="00AE38B6"/>
    <w:rsid w:val="00AE4681"/>
    <w:rsid w:val="00AE4F1A"/>
    <w:rsid w:val="00AE6545"/>
    <w:rsid w:val="00AE752F"/>
    <w:rsid w:val="00AF417C"/>
    <w:rsid w:val="00AF4B8F"/>
    <w:rsid w:val="00AF6E8F"/>
    <w:rsid w:val="00B01C4A"/>
    <w:rsid w:val="00B07587"/>
    <w:rsid w:val="00B125A8"/>
    <w:rsid w:val="00B12FF5"/>
    <w:rsid w:val="00B13992"/>
    <w:rsid w:val="00B13D07"/>
    <w:rsid w:val="00B14D02"/>
    <w:rsid w:val="00B15AD5"/>
    <w:rsid w:val="00B15E6F"/>
    <w:rsid w:val="00B16406"/>
    <w:rsid w:val="00B16B47"/>
    <w:rsid w:val="00B16C1C"/>
    <w:rsid w:val="00B20B45"/>
    <w:rsid w:val="00B20E39"/>
    <w:rsid w:val="00B21E8F"/>
    <w:rsid w:val="00B24280"/>
    <w:rsid w:val="00B264E8"/>
    <w:rsid w:val="00B30520"/>
    <w:rsid w:val="00B3147D"/>
    <w:rsid w:val="00B33B42"/>
    <w:rsid w:val="00B358FB"/>
    <w:rsid w:val="00B37149"/>
    <w:rsid w:val="00B37F7D"/>
    <w:rsid w:val="00B40FE4"/>
    <w:rsid w:val="00B41BF3"/>
    <w:rsid w:val="00B42E0F"/>
    <w:rsid w:val="00B43673"/>
    <w:rsid w:val="00B44EAB"/>
    <w:rsid w:val="00B44FEB"/>
    <w:rsid w:val="00B4665B"/>
    <w:rsid w:val="00B46D8E"/>
    <w:rsid w:val="00B502E7"/>
    <w:rsid w:val="00B506B5"/>
    <w:rsid w:val="00B518A6"/>
    <w:rsid w:val="00B51EA5"/>
    <w:rsid w:val="00B53ECE"/>
    <w:rsid w:val="00B54539"/>
    <w:rsid w:val="00B5475F"/>
    <w:rsid w:val="00B553B7"/>
    <w:rsid w:val="00B557D2"/>
    <w:rsid w:val="00B56120"/>
    <w:rsid w:val="00B61802"/>
    <w:rsid w:val="00B62CC9"/>
    <w:rsid w:val="00B63CF8"/>
    <w:rsid w:val="00B6523A"/>
    <w:rsid w:val="00B66291"/>
    <w:rsid w:val="00B67415"/>
    <w:rsid w:val="00B67B56"/>
    <w:rsid w:val="00B710BD"/>
    <w:rsid w:val="00B71427"/>
    <w:rsid w:val="00B72B9F"/>
    <w:rsid w:val="00B74AB4"/>
    <w:rsid w:val="00B74B1F"/>
    <w:rsid w:val="00B83F59"/>
    <w:rsid w:val="00B844AF"/>
    <w:rsid w:val="00B84EC3"/>
    <w:rsid w:val="00B851D4"/>
    <w:rsid w:val="00B85AFB"/>
    <w:rsid w:val="00B87609"/>
    <w:rsid w:val="00B906D1"/>
    <w:rsid w:val="00B90D01"/>
    <w:rsid w:val="00B9278A"/>
    <w:rsid w:val="00B92CC9"/>
    <w:rsid w:val="00B93738"/>
    <w:rsid w:val="00B93FEE"/>
    <w:rsid w:val="00B94ED1"/>
    <w:rsid w:val="00B975BF"/>
    <w:rsid w:val="00B97BFE"/>
    <w:rsid w:val="00BA101A"/>
    <w:rsid w:val="00BA1616"/>
    <w:rsid w:val="00BA37C6"/>
    <w:rsid w:val="00BA445A"/>
    <w:rsid w:val="00BA5F70"/>
    <w:rsid w:val="00BB0D8D"/>
    <w:rsid w:val="00BB2935"/>
    <w:rsid w:val="00BB47DD"/>
    <w:rsid w:val="00BB4A73"/>
    <w:rsid w:val="00BB4E91"/>
    <w:rsid w:val="00BC0C11"/>
    <w:rsid w:val="00BC4638"/>
    <w:rsid w:val="00BC5823"/>
    <w:rsid w:val="00BD3F39"/>
    <w:rsid w:val="00BE0F2C"/>
    <w:rsid w:val="00BE1E25"/>
    <w:rsid w:val="00BE2C05"/>
    <w:rsid w:val="00BE39CD"/>
    <w:rsid w:val="00BE4223"/>
    <w:rsid w:val="00BE43B5"/>
    <w:rsid w:val="00BE4E74"/>
    <w:rsid w:val="00BE7FB1"/>
    <w:rsid w:val="00BF0737"/>
    <w:rsid w:val="00BF0DF6"/>
    <w:rsid w:val="00BF35D3"/>
    <w:rsid w:val="00BF3613"/>
    <w:rsid w:val="00BF3F9B"/>
    <w:rsid w:val="00BF5592"/>
    <w:rsid w:val="00BF63EF"/>
    <w:rsid w:val="00BF696F"/>
    <w:rsid w:val="00C00ACF"/>
    <w:rsid w:val="00C03513"/>
    <w:rsid w:val="00C0361A"/>
    <w:rsid w:val="00C04021"/>
    <w:rsid w:val="00C05762"/>
    <w:rsid w:val="00C06282"/>
    <w:rsid w:val="00C06A2E"/>
    <w:rsid w:val="00C07B5F"/>
    <w:rsid w:val="00C1081E"/>
    <w:rsid w:val="00C12D1B"/>
    <w:rsid w:val="00C13FC6"/>
    <w:rsid w:val="00C15E5B"/>
    <w:rsid w:val="00C167A2"/>
    <w:rsid w:val="00C16827"/>
    <w:rsid w:val="00C171D3"/>
    <w:rsid w:val="00C20CC3"/>
    <w:rsid w:val="00C22CE3"/>
    <w:rsid w:val="00C24337"/>
    <w:rsid w:val="00C30489"/>
    <w:rsid w:val="00C310AE"/>
    <w:rsid w:val="00C344A6"/>
    <w:rsid w:val="00C3494D"/>
    <w:rsid w:val="00C42772"/>
    <w:rsid w:val="00C4438E"/>
    <w:rsid w:val="00C44ADC"/>
    <w:rsid w:val="00C47F03"/>
    <w:rsid w:val="00C5328E"/>
    <w:rsid w:val="00C53D6D"/>
    <w:rsid w:val="00C55449"/>
    <w:rsid w:val="00C5676F"/>
    <w:rsid w:val="00C60486"/>
    <w:rsid w:val="00C60564"/>
    <w:rsid w:val="00C643F9"/>
    <w:rsid w:val="00C6454C"/>
    <w:rsid w:val="00C65E29"/>
    <w:rsid w:val="00C67DF5"/>
    <w:rsid w:val="00C71832"/>
    <w:rsid w:val="00C71D6E"/>
    <w:rsid w:val="00C72B03"/>
    <w:rsid w:val="00C72D4D"/>
    <w:rsid w:val="00C72F8E"/>
    <w:rsid w:val="00C73E08"/>
    <w:rsid w:val="00C73E88"/>
    <w:rsid w:val="00C74191"/>
    <w:rsid w:val="00C74B40"/>
    <w:rsid w:val="00C762D1"/>
    <w:rsid w:val="00C8133E"/>
    <w:rsid w:val="00C822FF"/>
    <w:rsid w:val="00C831D2"/>
    <w:rsid w:val="00C83A07"/>
    <w:rsid w:val="00C842EB"/>
    <w:rsid w:val="00C95D02"/>
    <w:rsid w:val="00C96B6F"/>
    <w:rsid w:val="00C9751D"/>
    <w:rsid w:val="00CA1FE7"/>
    <w:rsid w:val="00CA372B"/>
    <w:rsid w:val="00CA37C4"/>
    <w:rsid w:val="00CA4F32"/>
    <w:rsid w:val="00CA5192"/>
    <w:rsid w:val="00CA647E"/>
    <w:rsid w:val="00CA7473"/>
    <w:rsid w:val="00CB02B5"/>
    <w:rsid w:val="00CB054C"/>
    <w:rsid w:val="00CB0F78"/>
    <w:rsid w:val="00CB2355"/>
    <w:rsid w:val="00CB3007"/>
    <w:rsid w:val="00CB444B"/>
    <w:rsid w:val="00CB48A2"/>
    <w:rsid w:val="00CB5B45"/>
    <w:rsid w:val="00CB667B"/>
    <w:rsid w:val="00CC078E"/>
    <w:rsid w:val="00CC2054"/>
    <w:rsid w:val="00CC3B03"/>
    <w:rsid w:val="00CC48C0"/>
    <w:rsid w:val="00CC49CB"/>
    <w:rsid w:val="00CD2143"/>
    <w:rsid w:val="00CD3FDA"/>
    <w:rsid w:val="00CD4432"/>
    <w:rsid w:val="00CD516B"/>
    <w:rsid w:val="00CD5B60"/>
    <w:rsid w:val="00CD5C87"/>
    <w:rsid w:val="00CD6352"/>
    <w:rsid w:val="00CD7D0F"/>
    <w:rsid w:val="00CD7E67"/>
    <w:rsid w:val="00CD7F0A"/>
    <w:rsid w:val="00CE00B8"/>
    <w:rsid w:val="00CE1DEB"/>
    <w:rsid w:val="00CE1F69"/>
    <w:rsid w:val="00CE4614"/>
    <w:rsid w:val="00CE5B6B"/>
    <w:rsid w:val="00CE5BD8"/>
    <w:rsid w:val="00CE5C8F"/>
    <w:rsid w:val="00CF1726"/>
    <w:rsid w:val="00CF4F8D"/>
    <w:rsid w:val="00CF675A"/>
    <w:rsid w:val="00D0253C"/>
    <w:rsid w:val="00D03BDE"/>
    <w:rsid w:val="00D0724B"/>
    <w:rsid w:val="00D07538"/>
    <w:rsid w:val="00D078D5"/>
    <w:rsid w:val="00D105B6"/>
    <w:rsid w:val="00D106F7"/>
    <w:rsid w:val="00D10F85"/>
    <w:rsid w:val="00D12B2D"/>
    <w:rsid w:val="00D12CC6"/>
    <w:rsid w:val="00D12D05"/>
    <w:rsid w:val="00D1333D"/>
    <w:rsid w:val="00D153C6"/>
    <w:rsid w:val="00D20AE7"/>
    <w:rsid w:val="00D213FC"/>
    <w:rsid w:val="00D21B2D"/>
    <w:rsid w:val="00D21E11"/>
    <w:rsid w:val="00D22579"/>
    <w:rsid w:val="00D22E2D"/>
    <w:rsid w:val="00D236A5"/>
    <w:rsid w:val="00D236C4"/>
    <w:rsid w:val="00D24D14"/>
    <w:rsid w:val="00D2601D"/>
    <w:rsid w:val="00D26CA4"/>
    <w:rsid w:val="00D27D43"/>
    <w:rsid w:val="00D328D0"/>
    <w:rsid w:val="00D351A3"/>
    <w:rsid w:val="00D42070"/>
    <w:rsid w:val="00D444F2"/>
    <w:rsid w:val="00D46AD3"/>
    <w:rsid w:val="00D47635"/>
    <w:rsid w:val="00D47CA0"/>
    <w:rsid w:val="00D50A0B"/>
    <w:rsid w:val="00D54A26"/>
    <w:rsid w:val="00D55575"/>
    <w:rsid w:val="00D565DB"/>
    <w:rsid w:val="00D567D3"/>
    <w:rsid w:val="00D57631"/>
    <w:rsid w:val="00D6113F"/>
    <w:rsid w:val="00D61481"/>
    <w:rsid w:val="00D61544"/>
    <w:rsid w:val="00D64B5A"/>
    <w:rsid w:val="00D64DE5"/>
    <w:rsid w:val="00D653E2"/>
    <w:rsid w:val="00D7141E"/>
    <w:rsid w:val="00D71C9B"/>
    <w:rsid w:val="00D72C4B"/>
    <w:rsid w:val="00D73542"/>
    <w:rsid w:val="00D76745"/>
    <w:rsid w:val="00D77D0F"/>
    <w:rsid w:val="00D80062"/>
    <w:rsid w:val="00D835A1"/>
    <w:rsid w:val="00D83DEC"/>
    <w:rsid w:val="00D856F4"/>
    <w:rsid w:val="00D864FA"/>
    <w:rsid w:val="00D86CDD"/>
    <w:rsid w:val="00D91D7B"/>
    <w:rsid w:val="00D91DD7"/>
    <w:rsid w:val="00D92046"/>
    <w:rsid w:val="00D9398B"/>
    <w:rsid w:val="00D94565"/>
    <w:rsid w:val="00D94E4B"/>
    <w:rsid w:val="00D95EDC"/>
    <w:rsid w:val="00D95FBB"/>
    <w:rsid w:val="00DA2F14"/>
    <w:rsid w:val="00DA3D4E"/>
    <w:rsid w:val="00DA458D"/>
    <w:rsid w:val="00DA4B1B"/>
    <w:rsid w:val="00DA6199"/>
    <w:rsid w:val="00DB4902"/>
    <w:rsid w:val="00DB5BE4"/>
    <w:rsid w:val="00DB65A4"/>
    <w:rsid w:val="00DB7044"/>
    <w:rsid w:val="00DC0538"/>
    <w:rsid w:val="00DC1B61"/>
    <w:rsid w:val="00DC1BC6"/>
    <w:rsid w:val="00DC3274"/>
    <w:rsid w:val="00DC3C18"/>
    <w:rsid w:val="00DC7490"/>
    <w:rsid w:val="00DD09C8"/>
    <w:rsid w:val="00DD120A"/>
    <w:rsid w:val="00DD1405"/>
    <w:rsid w:val="00DD2B11"/>
    <w:rsid w:val="00DD4A42"/>
    <w:rsid w:val="00DD742E"/>
    <w:rsid w:val="00DE00A5"/>
    <w:rsid w:val="00DE066D"/>
    <w:rsid w:val="00DE0AAC"/>
    <w:rsid w:val="00DE110E"/>
    <w:rsid w:val="00DE1721"/>
    <w:rsid w:val="00DE2C52"/>
    <w:rsid w:val="00DE3A3D"/>
    <w:rsid w:val="00DE58B9"/>
    <w:rsid w:val="00DE61E7"/>
    <w:rsid w:val="00DE6627"/>
    <w:rsid w:val="00DF0BAC"/>
    <w:rsid w:val="00DF4596"/>
    <w:rsid w:val="00DF47E7"/>
    <w:rsid w:val="00DF5CDC"/>
    <w:rsid w:val="00DF64D3"/>
    <w:rsid w:val="00DF6809"/>
    <w:rsid w:val="00DF6814"/>
    <w:rsid w:val="00DF68E3"/>
    <w:rsid w:val="00E0063C"/>
    <w:rsid w:val="00E00CCD"/>
    <w:rsid w:val="00E00F22"/>
    <w:rsid w:val="00E0196A"/>
    <w:rsid w:val="00E02AC7"/>
    <w:rsid w:val="00E02E1C"/>
    <w:rsid w:val="00E04693"/>
    <w:rsid w:val="00E0471E"/>
    <w:rsid w:val="00E04ED8"/>
    <w:rsid w:val="00E05698"/>
    <w:rsid w:val="00E0677B"/>
    <w:rsid w:val="00E06FF8"/>
    <w:rsid w:val="00E07663"/>
    <w:rsid w:val="00E10D32"/>
    <w:rsid w:val="00E14A64"/>
    <w:rsid w:val="00E14EC9"/>
    <w:rsid w:val="00E156E1"/>
    <w:rsid w:val="00E15B07"/>
    <w:rsid w:val="00E214FE"/>
    <w:rsid w:val="00E24BAD"/>
    <w:rsid w:val="00E2546E"/>
    <w:rsid w:val="00E254B3"/>
    <w:rsid w:val="00E25DC1"/>
    <w:rsid w:val="00E26E04"/>
    <w:rsid w:val="00E26FF0"/>
    <w:rsid w:val="00E31C0F"/>
    <w:rsid w:val="00E32080"/>
    <w:rsid w:val="00E32F5A"/>
    <w:rsid w:val="00E34BA1"/>
    <w:rsid w:val="00E37791"/>
    <w:rsid w:val="00E37C57"/>
    <w:rsid w:val="00E42473"/>
    <w:rsid w:val="00E44735"/>
    <w:rsid w:val="00E45ADA"/>
    <w:rsid w:val="00E46249"/>
    <w:rsid w:val="00E470B9"/>
    <w:rsid w:val="00E507F6"/>
    <w:rsid w:val="00E51C76"/>
    <w:rsid w:val="00E51C93"/>
    <w:rsid w:val="00E54DA7"/>
    <w:rsid w:val="00E61850"/>
    <w:rsid w:val="00E642AB"/>
    <w:rsid w:val="00E67A8F"/>
    <w:rsid w:val="00E732A8"/>
    <w:rsid w:val="00E74151"/>
    <w:rsid w:val="00E74E1A"/>
    <w:rsid w:val="00E75A6F"/>
    <w:rsid w:val="00E80E2E"/>
    <w:rsid w:val="00E835E0"/>
    <w:rsid w:val="00E864AA"/>
    <w:rsid w:val="00E866D1"/>
    <w:rsid w:val="00E871D9"/>
    <w:rsid w:val="00E87DED"/>
    <w:rsid w:val="00E90618"/>
    <w:rsid w:val="00E9110E"/>
    <w:rsid w:val="00E91536"/>
    <w:rsid w:val="00E95819"/>
    <w:rsid w:val="00E97FC6"/>
    <w:rsid w:val="00EA0E95"/>
    <w:rsid w:val="00EA264C"/>
    <w:rsid w:val="00EA30E6"/>
    <w:rsid w:val="00EA3D90"/>
    <w:rsid w:val="00EA5154"/>
    <w:rsid w:val="00EA5F30"/>
    <w:rsid w:val="00EA61CD"/>
    <w:rsid w:val="00EB03AD"/>
    <w:rsid w:val="00EB043F"/>
    <w:rsid w:val="00EB0CA4"/>
    <w:rsid w:val="00EB1771"/>
    <w:rsid w:val="00EB193C"/>
    <w:rsid w:val="00EB24F6"/>
    <w:rsid w:val="00EB250A"/>
    <w:rsid w:val="00EB25B2"/>
    <w:rsid w:val="00EB27EA"/>
    <w:rsid w:val="00EB2B56"/>
    <w:rsid w:val="00EB4C6B"/>
    <w:rsid w:val="00EB4EB6"/>
    <w:rsid w:val="00EC0657"/>
    <w:rsid w:val="00EC6D71"/>
    <w:rsid w:val="00ED13E2"/>
    <w:rsid w:val="00ED2FB5"/>
    <w:rsid w:val="00ED4EFC"/>
    <w:rsid w:val="00ED5BE1"/>
    <w:rsid w:val="00ED5E2D"/>
    <w:rsid w:val="00ED61B8"/>
    <w:rsid w:val="00ED7D23"/>
    <w:rsid w:val="00EE31B9"/>
    <w:rsid w:val="00EE4F83"/>
    <w:rsid w:val="00EE587E"/>
    <w:rsid w:val="00EE6B44"/>
    <w:rsid w:val="00EF0A00"/>
    <w:rsid w:val="00EF1C4F"/>
    <w:rsid w:val="00EF3F6C"/>
    <w:rsid w:val="00EF5264"/>
    <w:rsid w:val="00EF69BC"/>
    <w:rsid w:val="00EF6A35"/>
    <w:rsid w:val="00F0536A"/>
    <w:rsid w:val="00F06F77"/>
    <w:rsid w:val="00F07EBA"/>
    <w:rsid w:val="00F13ADE"/>
    <w:rsid w:val="00F14ABF"/>
    <w:rsid w:val="00F15F7B"/>
    <w:rsid w:val="00F17154"/>
    <w:rsid w:val="00F17CA0"/>
    <w:rsid w:val="00F17DD9"/>
    <w:rsid w:val="00F201EC"/>
    <w:rsid w:val="00F24C53"/>
    <w:rsid w:val="00F254FD"/>
    <w:rsid w:val="00F26733"/>
    <w:rsid w:val="00F26F2F"/>
    <w:rsid w:val="00F3210A"/>
    <w:rsid w:val="00F33533"/>
    <w:rsid w:val="00F34F39"/>
    <w:rsid w:val="00F3640D"/>
    <w:rsid w:val="00F37E93"/>
    <w:rsid w:val="00F402BC"/>
    <w:rsid w:val="00F40CA3"/>
    <w:rsid w:val="00F41110"/>
    <w:rsid w:val="00F41BE1"/>
    <w:rsid w:val="00F426F1"/>
    <w:rsid w:val="00F447B7"/>
    <w:rsid w:val="00F45ED1"/>
    <w:rsid w:val="00F461EA"/>
    <w:rsid w:val="00F47401"/>
    <w:rsid w:val="00F51551"/>
    <w:rsid w:val="00F51C2B"/>
    <w:rsid w:val="00F521A6"/>
    <w:rsid w:val="00F536E7"/>
    <w:rsid w:val="00F54FB0"/>
    <w:rsid w:val="00F5764F"/>
    <w:rsid w:val="00F606BB"/>
    <w:rsid w:val="00F6114F"/>
    <w:rsid w:val="00F66E12"/>
    <w:rsid w:val="00F6725C"/>
    <w:rsid w:val="00F70AB4"/>
    <w:rsid w:val="00F71FC4"/>
    <w:rsid w:val="00F732EF"/>
    <w:rsid w:val="00F7370D"/>
    <w:rsid w:val="00F75870"/>
    <w:rsid w:val="00F80AEE"/>
    <w:rsid w:val="00F80FE6"/>
    <w:rsid w:val="00F81C45"/>
    <w:rsid w:val="00F83875"/>
    <w:rsid w:val="00F86A7E"/>
    <w:rsid w:val="00F90EBC"/>
    <w:rsid w:val="00F91D2D"/>
    <w:rsid w:val="00F9214B"/>
    <w:rsid w:val="00F934C1"/>
    <w:rsid w:val="00F934F9"/>
    <w:rsid w:val="00F97812"/>
    <w:rsid w:val="00FA0001"/>
    <w:rsid w:val="00FA17C9"/>
    <w:rsid w:val="00FA22F8"/>
    <w:rsid w:val="00FA3B4E"/>
    <w:rsid w:val="00FA4595"/>
    <w:rsid w:val="00FA645A"/>
    <w:rsid w:val="00FB1995"/>
    <w:rsid w:val="00FB1C1D"/>
    <w:rsid w:val="00FB4C15"/>
    <w:rsid w:val="00FB6D33"/>
    <w:rsid w:val="00FB768D"/>
    <w:rsid w:val="00FB7985"/>
    <w:rsid w:val="00FC35B2"/>
    <w:rsid w:val="00FC4732"/>
    <w:rsid w:val="00FC65DF"/>
    <w:rsid w:val="00FC7B9E"/>
    <w:rsid w:val="00FD1EFD"/>
    <w:rsid w:val="00FD2878"/>
    <w:rsid w:val="00FD2A22"/>
    <w:rsid w:val="00FD5004"/>
    <w:rsid w:val="00FD77C3"/>
    <w:rsid w:val="00FE00DF"/>
    <w:rsid w:val="00FE149A"/>
    <w:rsid w:val="00FE1C29"/>
    <w:rsid w:val="00FE1D5C"/>
    <w:rsid w:val="00FE201D"/>
    <w:rsid w:val="00FE29ED"/>
    <w:rsid w:val="00FE6456"/>
    <w:rsid w:val="00FE656F"/>
    <w:rsid w:val="00FE7CCD"/>
    <w:rsid w:val="00FE7EDA"/>
    <w:rsid w:val="00FF2307"/>
    <w:rsid w:val="00FF3F58"/>
    <w:rsid w:val="00FF4328"/>
    <w:rsid w:val="00FF52C6"/>
    <w:rsid w:val="00FF5B2A"/>
    <w:rsid w:val="00FF7F94"/>
    <w:rsid w:val="669B1FFA"/>
    <w:rsid w:val="67165C9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99"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仿宋" w:cs="Times New Roman"/>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before="260" w:after="260" w:line="416" w:lineRule="auto"/>
      <w:outlineLvl w:val="2"/>
    </w:pPr>
    <w:rPr>
      <w:rFonts w:ascii="Times New Roman" w:hAnsi="Times New Roman" w:eastAsia="宋体"/>
      <w:b/>
      <w:bCs/>
      <w:sz w:val="32"/>
      <w:szCs w:val="32"/>
    </w:rPr>
  </w:style>
  <w:style w:type="paragraph" w:styleId="5">
    <w:name w:val="heading 4"/>
    <w:basedOn w:val="1"/>
    <w:next w:val="1"/>
    <w:link w:val="59"/>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16">
    <w:name w:val="Default Paragraph Font"/>
    <w:unhideWhenUsed/>
    <w:uiPriority w:val="1"/>
  </w:style>
  <w:style w:type="table" w:default="1" w:styleId="21">
    <w:name w:val="Normal Table"/>
    <w:unhideWhenUsed/>
    <w:qFormat/>
    <w:uiPriority w:val="99"/>
    <w:tblPr>
      <w:tblStyle w:val="21"/>
      <w:tblLayout w:type="fixed"/>
      <w:tblCellMar>
        <w:top w:w="0" w:type="dxa"/>
        <w:left w:w="108" w:type="dxa"/>
        <w:bottom w:w="0" w:type="dxa"/>
        <w:right w:w="108" w:type="dxa"/>
      </w:tblCellMar>
    </w:tblPr>
    <w:tcPr>
      <w:textDirection w:val="lrTb"/>
    </w:tcPr>
  </w:style>
  <w:style w:type="paragraph" w:styleId="6">
    <w:name w:val="annotation subject"/>
    <w:basedOn w:val="7"/>
    <w:next w:val="7"/>
    <w:link w:val="63"/>
    <w:uiPriority w:val="0"/>
    <w:rPr>
      <w:rFonts w:ascii="Calibri" w:hAnsi="Calibri" w:eastAsia="华文仿宋"/>
      <w:b/>
      <w:bCs/>
      <w:szCs w:val="22"/>
    </w:rPr>
  </w:style>
  <w:style w:type="paragraph" w:styleId="7">
    <w:name w:val="annotation text"/>
    <w:basedOn w:val="1"/>
    <w:link w:val="52"/>
    <w:uiPriority w:val="99"/>
    <w:pPr>
      <w:jc w:val="left"/>
    </w:pPr>
    <w:rPr>
      <w:rFonts w:ascii="Times New Roman" w:hAnsi="Times New Roman" w:eastAsia="宋体"/>
      <w:szCs w:val="24"/>
    </w:rPr>
  </w:style>
  <w:style w:type="paragraph" w:styleId="8">
    <w:name w:val="caption"/>
    <w:basedOn w:val="1"/>
    <w:next w:val="1"/>
    <w:unhideWhenUsed/>
    <w:qFormat/>
    <w:uiPriority w:val="0"/>
    <w:rPr>
      <w:rFonts w:ascii="Cambria" w:hAnsi="Cambria" w:eastAsia="黑体"/>
      <w:sz w:val="20"/>
      <w:szCs w:val="20"/>
    </w:rPr>
  </w:style>
  <w:style w:type="paragraph" w:styleId="9">
    <w:name w:val="Document Map"/>
    <w:basedOn w:val="1"/>
    <w:link w:val="66"/>
    <w:uiPriority w:val="99"/>
    <w:rPr>
      <w:rFonts w:ascii="宋体" w:eastAsia="宋体"/>
      <w:sz w:val="18"/>
      <w:szCs w:val="18"/>
    </w:rPr>
  </w:style>
  <w:style w:type="paragraph" w:styleId="10">
    <w:name w:val="Body Text"/>
    <w:basedOn w:val="1"/>
    <w:link w:val="55"/>
    <w:uiPriority w:val="0"/>
    <w:pPr>
      <w:autoSpaceDE w:val="0"/>
      <w:autoSpaceDN w:val="0"/>
      <w:adjustRightInd w:val="0"/>
      <w:jc w:val="left"/>
    </w:pPr>
    <w:rPr>
      <w:rFonts w:ascii="Times New Roman" w:hAnsi="Times New Roman" w:eastAsia="宋体"/>
      <w:kern w:val="0"/>
      <w:sz w:val="24"/>
      <w:szCs w:val="24"/>
    </w:rPr>
  </w:style>
  <w:style w:type="paragraph" w:styleId="11">
    <w:name w:val="Balloon Text"/>
    <w:basedOn w:val="1"/>
    <w:link w:val="53"/>
    <w:uiPriority w:val="0"/>
    <w:rPr>
      <w:rFonts w:eastAsia="宋体"/>
      <w:sz w:val="18"/>
      <w:szCs w:val="18"/>
    </w:rPr>
  </w:style>
  <w:style w:type="paragraph" w:styleId="12">
    <w:name w:val="footer"/>
    <w:basedOn w:val="1"/>
    <w:link w:val="65"/>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50"/>
    <w:unhideWhenUsed/>
    <w:uiPriority w:val="0"/>
    <w:pPr>
      <w:snapToGrid w:val="0"/>
      <w:jc w:val="left"/>
    </w:pPr>
    <w:rPr>
      <w:rFonts w:eastAsia="宋体"/>
      <w:sz w:val="18"/>
      <w:szCs w:val="18"/>
    </w:rPr>
  </w:style>
  <w:style w:type="paragraph" w:styleId="1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Strong"/>
    <w:qFormat/>
    <w:uiPriority w:val="22"/>
    <w:rPr>
      <w:b/>
      <w:bCs/>
    </w:rPr>
  </w:style>
  <w:style w:type="character" w:styleId="18">
    <w:name w:val="Hyperlink"/>
    <w:basedOn w:val="16"/>
    <w:uiPriority w:val="0"/>
    <w:rPr>
      <w:color w:val="0000FF"/>
      <w:u w:val="single"/>
    </w:rPr>
  </w:style>
  <w:style w:type="character" w:styleId="19">
    <w:name w:val="annotation reference"/>
    <w:uiPriority w:val="99"/>
    <w:rPr>
      <w:sz w:val="21"/>
      <w:szCs w:val="21"/>
    </w:rPr>
  </w:style>
  <w:style w:type="character" w:styleId="20">
    <w:name w:val="footnote reference"/>
    <w:unhideWhenUsed/>
    <w:uiPriority w:val="0"/>
    <w:rPr>
      <w:vertAlign w:val="superscript"/>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23">
    <w:name w:val="Table Contemporary"/>
    <w:basedOn w:val="21"/>
    <w:uiPriority w:val="0"/>
    <w:pPr>
      <w:widowControl w:val="0"/>
      <w:jc w:val="both"/>
    </w:pPr>
    <w:tblPr>
      <w:tblStyle w:val="21"/>
      <w:tblStyleRowBandSize w:val="1"/>
      <w:tblBorders>
        <w:insideH w:val="single" w:color="FFFFFF" w:sz="18" w:space="0"/>
        <w:insideV w:val="single" w:color="FFFFFF" w:sz="18" w:space="0"/>
      </w:tblBorders>
      <w:tblLayout w:type="fixed"/>
      <w:tblCellMar>
        <w:top w:w="0" w:type="dxa"/>
        <w:left w:w="108" w:type="dxa"/>
        <w:bottom w:w="0" w:type="dxa"/>
        <w:right w:w="108" w:type="dxa"/>
      </w:tblCellMar>
    </w:tblPr>
    <w:tcPr>
      <w:textDirection w:val="lrTb"/>
    </w:tcPr>
    <w:tblStylePr w:type="firstRow">
      <w:rPr>
        <w:b/>
        <w:bCs/>
        <w:color w:val="auto"/>
      </w:rPr>
      <w:tblPr>
        <w:tblStyle w:val="21"/>
        <w:tblLayout w:type="fixed"/>
      </w:tblPr>
      <w:tcPr>
        <w:shd w:val="pct20" w:color="000000" w:fill="FFFFFF"/>
        <w:textDirection w:val="lrTb"/>
      </w:tcPr>
    </w:tblStylePr>
    <w:tblStylePr w:type="band1Horz">
      <w:rPr>
        <w:color w:val="auto"/>
      </w:rPr>
      <w:tblPr>
        <w:tblStyle w:val="21"/>
        <w:tblLayout w:type="fixed"/>
      </w:tblPr>
      <w:tcPr>
        <w:shd w:val="pct5" w:color="000000" w:fill="FFFFFF"/>
        <w:textDirection w:val="lrTb"/>
      </w:tcPr>
    </w:tblStylePr>
    <w:tblStylePr w:type="band2Horz">
      <w:rPr>
        <w:color w:val="auto"/>
      </w:rPr>
      <w:tblPr>
        <w:tblStyle w:val="21"/>
        <w:tblLayout w:type="fixed"/>
      </w:tblPr>
      <w:tcPr>
        <w:shd w:val="pct20" w:color="000000" w:fill="FFFFFF"/>
        <w:textDirection w:val="lrTb"/>
      </w:tcPr>
    </w:tblStylePr>
  </w:style>
  <w:style w:type="table" w:styleId="24">
    <w:name w:val="Table Columns 3"/>
    <w:basedOn w:val="21"/>
    <w:uiPriority w:val="0"/>
    <w:pPr>
      <w:widowControl w:val="0"/>
      <w:jc w:val="both"/>
    </w:pPr>
    <w:rPr>
      <w:b/>
      <w:bCs/>
    </w:rPr>
    <w:tblPr>
      <w:tblStyle w:val="21"/>
      <w:tblStyleColBandSize w:val="1"/>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cPr>
      <w:textDirection w:val="lrTb"/>
    </w:tcPr>
    <w:tblStylePr w:type="firstRow">
      <w:rPr>
        <w:color w:val="FFFFFF"/>
      </w:rPr>
      <w:tblPr>
        <w:tblStyle w:val="21"/>
        <w:tblLayout w:type="fixed"/>
      </w:tblPr>
      <w:tcPr>
        <w:shd w:val="solid" w:color="000080" w:fill="FFFFFF"/>
        <w:textDirection w:val="lrTb"/>
      </w:tcPr>
    </w:tblStylePr>
    <w:tblStylePr w:type="lastRow">
      <w:rPr>
        <w:b w:val="0"/>
        <w:bCs w:val="0"/>
      </w:rPr>
      <w:tblPr>
        <w:tblStyle w:val="21"/>
        <w:tblLayout w:type="fixed"/>
      </w:tblPr>
      <w:tcPr>
        <w:tcBorders>
          <w:top w:val="single" w:color="000080" w:sz="6" w:space="0"/>
          <w:left w:val="nil"/>
          <w:bottom w:val="nil"/>
          <w:right w:val="nil"/>
          <w:insideH w:val="nil"/>
          <w:insideV w:val="nil"/>
          <w:tl2br w:val="nil"/>
          <w:tr2bl w:val="nil"/>
        </w:tcBorders>
        <w:textDirection w:val="lrTb"/>
      </w:tcPr>
    </w:tblStylePr>
    <w:tblStylePr w:type="firstCol">
      <w:rPr>
        <w:b w:val="0"/>
        <w:bCs w:val="0"/>
      </w:rPr>
      <w:tblPr>
        <w:tblStyle w:val="21"/>
        <w:tblLayout w:type="fixed"/>
      </w:tblPr>
      <w:tcPr>
        <w:textDirection w:val="lrTb"/>
      </w:tcPr>
    </w:tblStylePr>
    <w:tblStylePr w:type="lastCol">
      <w:rPr>
        <w:b w:val="0"/>
        <w:bCs w:val="0"/>
      </w:rPr>
      <w:tblPr>
        <w:tblStyle w:val="21"/>
        <w:tblLayout w:type="fixed"/>
      </w:tblPr>
      <w:tcPr>
        <w:textDirection w:val="lrTb"/>
      </w:tcPr>
    </w:tblStylePr>
    <w:tblStylePr w:type="band1Vert">
      <w:rPr>
        <w:color w:val="auto"/>
      </w:rPr>
      <w:tblPr>
        <w:tblStyle w:val="21"/>
        <w:tblLayout w:type="fixed"/>
      </w:tblPr>
      <w:tcPr>
        <w:shd w:val="solid" w:color="C0C0C0" w:fill="FFFFFF"/>
        <w:textDirection w:val="lrTb"/>
      </w:tcPr>
    </w:tblStylePr>
    <w:tblStylePr w:type="band2Vert">
      <w:rPr>
        <w:color w:val="auto"/>
      </w:rPr>
      <w:tblPr>
        <w:tblStyle w:val="21"/>
        <w:tblLayout w:type="fixed"/>
      </w:tblPr>
      <w:tcPr>
        <w:shd w:val="pct10" w:color="000000" w:fill="FFFFFF"/>
        <w:textDirection w:val="lrTb"/>
      </w:tcPr>
    </w:tblStylePr>
    <w:tblStylePr w:type="neCell">
      <w:rPr>
        <w:b/>
        <w:bCs/>
      </w:rPr>
      <w:tblPr>
        <w:tblStyle w:val="21"/>
        <w:tblLayout w:type="fixed"/>
      </w:tblPr>
      <w:tcPr>
        <w:textDirection w:val="lrTb"/>
      </w:tcPr>
    </w:tblStylePr>
  </w:style>
  <w:style w:type="table" w:styleId="25">
    <w:name w:val="Table Grid 8"/>
    <w:basedOn w:val="21"/>
    <w:uiPriority w:val="0"/>
    <w:pPr>
      <w:widowControl w:val="0"/>
      <w:jc w:val="both"/>
    </w:pPr>
    <w:tblPr>
      <w:tblStyle w:val="2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21"/>
        <w:tblLayout w:type="fixed"/>
      </w:tblPr>
      <w:tcPr>
        <w:shd w:val="solid" w:color="000080" w:fill="FFFFFF"/>
        <w:textDirection w:val="lrTb"/>
      </w:tcPr>
    </w:tblStylePr>
    <w:tblStylePr w:type="lastRow">
      <w:rPr>
        <w:b/>
        <w:bCs/>
        <w:color w:val="auto"/>
      </w:rPr>
      <w:tblPr>
        <w:tblStyle w:val="21"/>
        <w:tblLayout w:type="fixed"/>
      </w:tblPr>
      <w:tcPr>
        <w:textDirection w:val="lrTb"/>
      </w:tcPr>
    </w:tblStylePr>
    <w:tblStylePr w:type="lastCol">
      <w:rPr>
        <w:b/>
        <w:bCs/>
        <w:color w:val="auto"/>
      </w:rPr>
      <w:tblPr>
        <w:tblStyle w:val="21"/>
        <w:tblLayout w:type="fixed"/>
      </w:tblPr>
      <w:tcPr>
        <w:textDirection w:val="lrTb"/>
      </w:tcPr>
    </w:tblStylePr>
  </w:style>
  <w:style w:type="paragraph" w:customStyle="1" w:styleId="26">
    <w:name w:val="Body"/>
    <w:basedOn w:val="1"/>
    <w:link w:val="54"/>
    <w:uiPriority w:val="0"/>
    <w:pPr>
      <w:widowControl/>
      <w:spacing w:before="120" w:after="120" w:line="360" w:lineRule="atLeast"/>
      <w:ind w:left="851"/>
    </w:pPr>
    <w:rPr>
      <w:rFonts w:ascii="Times New Roman" w:hAnsi="Times New Roman" w:eastAsia="宋体"/>
      <w:color w:val="000000"/>
      <w:kern w:val="0"/>
      <w:szCs w:val="21"/>
    </w:rPr>
  </w:style>
  <w:style w:type="paragraph" w:customStyle="1" w:styleId="27">
    <w:name w:val="List Paragraph"/>
    <w:basedOn w:val="1"/>
    <w:qFormat/>
    <w:uiPriority w:val="34"/>
    <w:pPr>
      <w:ind w:firstLine="420" w:firstLineChars="200"/>
    </w:pPr>
    <w:rPr>
      <w:rFonts w:ascii="Times New Roman" w:hAnsi="Times New Roman"/>
      <w:szCs w:val="24"/>
    </w:rPr>
  </w:style>
  <w:style w:type="paragraph" w:customStyle="1" w:styleId="28">
    <w:name w:val="标题1"/>
    <w:basedOn w:val="2"/>
    <w:uiPriority w:val="0"/>
    <w:pPr>
      <w:pageBreakBefore/>
      <w:widowControl/>
      <w:numPr>
        <w:ilvl w:val="0"/>
        <w:numId w:val="1"/>
      </w:numPr>
      <w:pBdr>
        <w:bottom w:val="single" w:color="auto" w:sz="8" w:space="6"/>
      </w:pBdr>
      <w:spacing w:before="720" w:after="240" w:line="240" w:lineRule="auto"/>
      <w:ind w:left="420" w:hanging="420"/>
      <w:jc w:val="left"/>
    </w:pPr>
    <w:rPr>
      <w:rFonts w:ascii="Arial" w:hAnsi="Arial"/>
      <w:smallCaps/>
      <w:spacing w:val="20"/>
      <w:kern w:val="20"/>
      <w:sz w:val="36"/>
    </w:rPr>
  </w:style>
  <w:style w:type="paragraph" w:customStyle="1" w:styleId="29">
    <w:name w:val="标题2"/>
    <w:basedOn w:val="3"/>
    <w:link w:val="57"/>
    <w:uiPriority w:val="0"/>
    <w:pPr>
      <w:widowControl/>
      <w:numPr>
        <w:ilvl w:val="1"/>
        <w:numId w:val="1"/>
      </w:numPr>
      <w:spacing w:before="320" w:after="160" w:line="240" w:lineRule="auto"/>
      <w:jc w:val="left"/>
    </w:pPr>
    <w:rPr>
      <w:rFonts w:eastAsia="宋体"/>
      <w:spacing w:val="20"/>
      <w:kern w:val="28"/>
      <w:sz w:val="21"/>
      <w:szCs w:val="21"/>
    </w:rPr>
  </w:style>
  <w:style w:type="paragraph" w:customStyle="1" w:styleId="30">
    <w:name w:val="标题3"/>
    <w:basedOn w:val="4"/>
    <w:uiPriority w:val="0"/>
    <w:pPr>
      <w:widowControl/>
      <w:numPr>
        <w:ilvl w:val="2"/>
        <w:numId w:val="1"/>
      </w:numPr>
      <w:tabs>
        <w:tab w:val="left" w:pos="1247"/>
      </w:tabs>
      <w:spacing w:before="240" w:after="120" w:line="240" w:lineRule="auto"/>
      <w:jc w:val="left"/>
    </w:pPr>
    <w:rPr>
      <w:rFonts w:ascii="Arial" w:hAnsi="Arial"/>
      <w:spacing w:val="20"/>
      <w:kern w:val="0"/>
      <w:sz w:val="24"/>
      <w:szCs w:val="24"/>
      <w:lang/>
    </w:rPr>
  </w:style>
  <w:style w:type="paragraph" w:customStyle="1" w:styleId="31">
    <w:name w:val="标题4"/>
    <w:basedOn w:val="5"/>
    <w:uiPriority w:val="0"/>
    <w:pPr>
      <w:widowControl/>
      <w:numPr>
        <w:ilvl w:val="3"/>
        <w:numId w:val="1"/>
      </w:numPr>
      <w:spacing w:before="120" w:after="0" w:line="240" w:lineRule="auto"/>
      <w:ind w:left="1680" w:hanging="420"/>
      <w:jc w:val="left"/>
    </w:pPr>
    <w:rPr>
      <w:rFonts w:ascii="Arial" w:hAnsi="Arial"/>
      <w:iCs/>
      <w:kern w:val="0"/>
      <w:sz w:val="21"/>
      <w:szCs w:val="20"/>
      <w:lang w:eastAsia="en-US"/>
    </w:rPr>
  </w:style>
  <w:style w:type="paragraph" w:customStyle="1" w:styleId="32">
    <w:name w:val="正文编号●"/>
    <w:basedOn w:val="1"/>
    <w:uiPriority w:val="0"/>
    <w:pPr>
      <w:widowControl/>
      <w:tabs>
        <w:tab w:val="left" w:pos="1701"/>
      </w:tabs>
      <w:snapToGrid w:val="0"/>
      <w:spacing w:before="120" w:after="120" w:line="360" w:lineRule="atLeast"/>
      <w:ind w:left="2336" w:hanging="465"/>
    </w:pPr>
    <w:rPr>
      <w:rFonts w:ascii="Times New Roman" w:hAnsi="Times New Roman"/>
      <w:szCs w:val="20"/>
    </w:rPr>
  </w:style>
  <w:style w:type="paragraph" w:customStyle="1" w:styleId="33">
    <w:name w:val="我的正文"/>
    <w:link w:val="60"/>
    <w:qFormat/>
    <w:uiPriority w:val="0"/>
    <w:pPr>
      <w:widowControl w:val="0"/>
      <w:snapToGrid w:val="0"/>
      <w:spacing w:beforeLines="50" w:afterLines="50"/>
      <w:ind w:left="141" w:leftChars="67" w:right="210" w:rightChars="100" w:firstLine="606" w:firstLineChars="202"/>
    </w:pPr>
    <w:rPr>
      <w:rFonts w:ascii="仿宋" w:hAnsi="仿宋" w:eastAsia="仿宋" w:cs="Times New Roman"/>
      <w:color w:val="FF0000"/>
      <w:kern w:val="2"/>
      <w:sz w:val="21"/>
      <w:szCs w:val="30"/>
      <w:lang w:val="en-US" w:eastAsia="zh-CN" w:bidi="ar-SA"/>
    </w:rPr>
  </w:style>
  <w:style w:type="paragraph" w:customStyle="1" w:styleId="34">
    <w:name w:val="Bullet"/>
    <w:basedOn w:val="1"/>
    <w:uiPriority w:val="0"/>
    <w:pPr>
      <w:widowControl/>
      <w:numPr>
        <w:ilvl w:val="0"/>
        <w:numId w:val="2"/>
      </w:numPr>
      <w:adjustRightInd w:val="0"/>
      <w:spacing w:before="60" w:after="60" w:line="288" w:lineRule="auto"/>
    </w:pPr>
    <w:rPr>
      <w:rFonts w:ascii="Arial" w:hAnsi="Arial" w:eastAsia="宋体"/>
      <w:kern w:val="0"/>
      <w:lang w:eastAsia="en-US"/>
    </w:rPr>
  </w:style>
  <w:style w:type="paragraph" w:customStyle="1" w:styleId="35">
    <w:name w:val="表头文字"/>
    <w:basedOn w:val="1"/>
    <w:link w:val="61"/>
    <w:qFormat/>
    <w:uiPriority w:val="0"/>
    <w:pPr>
      <w:keepNext/>
      <w:widowControl/>
      <w:spacing w:before="40" w:after="40"/>
      <w:jc w:val="center"/>
    </w:pPr>
    <w:rPr>
      <w:rFonts w:ascii="Arial" w:hAnsi="Arial" w:eastAsia="宋体"/>
      <w:b/>
      <w:sz w:val="18"/>
      <w:szCs w:val="20"/>
    </w:rPr>
  </w:style>
  <w:style w:type="paragraph" w:customStyle="1" w:styleId="36">
    <w:name w:val="表格内文字"/>
    <w:basedOn w:val="1"/>
    <w:link w:val="62"/>
    <w:uiPriority w:val="0"/>
    <w:pPr>
      <w:keepLines/>
      <w:widowControl/>
      <w:spacing w:before="40" w:after="40"/>
      <w:textAlignment w:val="top"/>
    </w:pPr>
    <w:rPr>
      <w:rFonts w:ascii="Arial" w:hAnsi="Arial" w:eastAsia="宋体"/>
      <w:sz w:val="18"/>
      <w:szCs w:val="18"/>
    </w:rPr>
  </w:style>
  <w:style w:type="paragraph" w:customStyle="1" w:styleId="37">
    <w:name w:val="样式2"/>
    <w:basedOn w:val="8"/>
    <w:uiPriority w:val="0"/>
    <w:pPr>
      <w:keepNext/>
      <w:widowControl/>
      <w:numPr>
        <w:ilvl w:val="0"/>
        <w:numId w:val="3"/>
      </w:numPr>
      <w:spacing w:before="360" w:after="120"/>
      <w:ind w:left="840" w:hanging="420"/>
      <w:jc w:val="left"/>
    </w:pPr>
    <w:rPr>
      <w:rFonts w:ascii="Arial" w:hAnsi="Arial" w:eastAsia="宋体"/>
      <w:bCs/>
      <w:kern w:val="0"/>
      <w:sz w:val="18"/>
      <w:lang w:eastAsia="en-US"/>
    </w:rPr>
  </w:style>
  <w:style w:type="paragraph" w:customStyle="1" w:styleId="38">
    <w:name w:val="样式17"/>
    <w:basedOn w:val="8"/>
    <w:uiPriority w:val="0"/>
    <w:pPr>
      <w:widowControl/>
      <w:numPr>
        <w:ilvl w:val="0"/>
        <w:numId w:val="4"/>
      </w:numPr>
      <w:tabs>
        <w:tab w:val="left" w:pos="2000"/>
        <w:tab w:val="clear" w:pos="1701"/>
      </w:tabs>
      <w:spacing w:before="120" w:after="360"/>
      <w:ind w:left="420" w:hanging="420"/>
      <w:jc w:val="center"/>
    </w:pPr>
    <w:rPr>
      <w:rFonts w:ascii="Arial" w:hAnsi="Arial" w:eastAsia="宋体"/>
      <w:bCs/>
      <w:kern w:val="0"/>
      <w:sz w:val="18"/>
      <w:lang w:eastAsia="en-US"/>
    </w:rPr>
  </w:style>
  <w:style w:type="paragraph" w:customStyle="1" w:styleId="39">
    <w:name w:val="图位"/>
    <w:basedOn w:val="26"/>
    <w:uiPriority w:val="0"/>
    <w:pPr>
      <w:tabs>
        <w:tab w:val="left" w:pos="1247"/>
      </w:tabs>
      <w:spacing w:after="0" w:line="288" w:lineRule="auto"/>
      <w:ind w:left="1247"/>
      <w:jc w:val="center"/>
    </w:pPr>
    <w:rPr>
      <w:rFonts w:ascii="Arial" w:hAnsi="Arial"/>
      <w:color w:val="auto"/>
      <w:lang w:eastAsia="en-US"/>
    </w:rPr>
  </w:style>
  <w:style w:type="paragraph" w:customStyle="1" w:styleId="40">
    <w:name w:val="Body1!"/>
    <w:basedOn w:val="26"/>
    <w:uiPriority w:val="0"/>
    <w:pPr>
      <w:tabs>
        <w:tab w:val="left" w:pos="1247"/>
      </w:tabs>
      <w:spacing w:after="0" w:line="288" w:lineRule="auto"/>
      <w:ind w:left="1247" w:firstLine="200" w:firstLineChars="200"/>
    </w:pPr>
    <w:rPr>
      <w:rFonts w:ascii="Arial" w:hAnsi="Arial"/>
      <w:color w:val="auto"/>
    </w:rPr>
  </w:style>
  <w:style w:type="paragraph" w:customStyle="1" w:styleId="41">
    <w:name w:val="表内文字"/>
    <w:basedOn w:val="1"/>
    <w:link w:val="64"/>
    <w:qFormat/>
    <w:uiPriority w:val="0"/>
    <w:pPr>
      <w:jc w:val="left"/>
    </w:pPr>
    <w:rPr>
      <w:rFonts w:ascii="Arial Unicode MS" w:hAnsi="Arial Unicode MS" w:eastAsia="微软雅黑" w:cs="宋体"/>
      <w:bCs/>
      <w:kern w:val="0"/>
      <w:sz w:val="18"/>
      <w:szCs w:val="18"/>
    </w:rPr>
  </w:style>
  <w:style w:type="paragraph" w:customStyle="1" w:styleId="42">
    <w:name w:val="Revision"/>
    <w:hidden/>
    <w:semiHidden/>
    <w:uiPriority w:val="99"/>
    <w:rPr>
      <w:rFonts w:ascii="Calibri" w:hAnsi="Calibri" w:eastAsia="华文仿宋" w:cs="Times New Roman"/>
      <w:kern w:val="2"/>
      <w:sz w:val="21"/>
      <w:szCs w:val="22"/>
      <w:lang w:val="en-US" w:eastAsia="zh-CN" w:bidi="ar-SA"/>
    </w:rPr>
  </w:style>
  <w:style w:type="paragraph" w:customStyle="1" w:styleId="43">
    <w:name w:val="正文1"/>
    <w:basedOn w:val="1"/>
    <w:link w:val="67"/>
    <w:qFormat/>
    <w:uiPriority w:val="0"/>
    <w:pPr>
      <w:snapToGrid w:val="0"/>
      <w:spacing w:line="560" w:lineRule="exact"/>
      <w:ind w:firstLine="600" w:firstLineChars="200"/>
      <w:jc w:val="left"/>
    </w:pPr>
    <w:rPr>
      <w:rFonts w:ascii="仿宋_GB2312" w:hAnsi="宋体" w:eastAsia="仿宋_GB2312" w:cs="Arial"/>
      <w:kern w:val="0"/>
      <w:sz w:val="30"/>
      <w:szCs w:val="30"/>
    </w:rPr>
  </w:style>
  <w:style w:type="paragraph" w:customStyle="1" w:styleId="44">
    <w:name w:val="event"/>
    <w:basedOn w:val="1"/>
    <w:link w:val="68"/>
    <w:qFormat/>
    <w:uiPriority w:val="0"/>
    <w:pPr>
      <w:ind w:firstLine="482"/>
      <w:outlineLvl w:val="0"/>
    </w:pPr>
    <w:rPr>
      <w:rFonts w:ascii="仿宋" w:hAnsi="仿宋" w:eastAsia="仿宋"/>
      <w:sz w:val="28"/>
      <w:szCs w:val="28"/>
    </w:rPr>
  </w:style>
  <w:style w:type="paragraph" w:customStyle="1" w:styleId="45">
    <w:name w:val="table样式1"/>
    <w:basedOn w:val="1"/>
    <w:link w:val="69"/>
    <w:qFormat/>
    <w:uiPriority w:val="0"/>
    <w:pPr>
      <w:jc w:val="center"/>
    </w:pPr>
    <w:rPr>
      <w:rFonts w:ascii="宋体" w:hAnsi="宋体" w:eastAsia="宋体"/>
      <w:sz w:val="24"/>
      <w:szCs w:val="24"/>
    </w:rPr>
  </w:style>
  <w:style w:type="paragraph" w:customStyle="1" w:styleId="46">
    <w:name w:val="规划正文"/>
    <w:basedOn w:val="1"/>
    <w:link w:val="70"/>
    <w:uiPriority w:val="0"/>
    <w:pPr>
      <w:ind w:firstLine="430" w:firstLineChars="200"/>
    </w:pPr>
    <w:rPr>
      <w:rFonts w:ascii="仿宋_GB2312" w:hAnsi="仿宋_GB2312" w:eastAsia="仿宋_GB2312"/>
      <w:kern w:val="0"/>
      <w:sz w:val="32"/>
      <w:szCs w:val="20"/>
    </w:rPr>
  </w:style>
  <w:style w:type="paragraph" w:customStyle="1" w:styleId="47">
    <w:name w:val="ok"/>
    <w:basedOn w:val="43"/>
    <w:link w:val="71"/>
    <w:qFormat/>
    <w:uiPriority w:val="0"/>
  </w:style>
  <w:style w:type="paragraph" w:customStyle="1" w:styleId="48">
    <w:name w:val="Pa4"/>
    <w:basedOn w:val="1"/>
    <w:next w:val="1"/>
    <w:uiPriority w:val="99"/>
    <w:pPr>
      <w:autoSpaceDE w:val="0"/>
      <w:autoSpaceDN w:val="0"/>
      <w:adjustRightInd w:val="0"/>
      <w:spacing w:line="301" w:lineRule="atLeast"/>
      <w:jc w:val="left"/>
    </w:pPr>
    <w:rPr>
      <w:rFonts w:ascii="PROKST+FZFSJW--GB1-0" w:hAnsi="Times New Roman" w:eastAsia="PROKST+FZFSJW--GB1-0"/>
      <w:kern w:val="0"/>
      <w:sz w:val="24"/>
      <w:szCs w:val="24"/>
    </w:rPr>
  </w:style>
  <w:style w:type="paragraph" w:customStyle="1" w:styleId="49">
    <w:name w:val="ol"/>
    <w:basedOn w:val="1"/>
    <w:link w:val="72"/>
    <w:qFormat/>
    <w:uiPriority w:val="0"/>
    <w:pPr>
      <w:snapToGrid w:val="0"/>
      <w:spacing w:line="480" w:lineRule="exact"/>
      <w:ind w:firstLine="560" w:firstLineChars="200"/>
    </w:pPr>
    <w:rPr>
      <w:rFonts w:ascii="仿宋_GB2312" w:hAnsi="仿宋_GB2312" w:eastAsia="仿宋_GB2312" w:cs="仿宋_GB2312"/>
      <w:kern w:val="0"/>
      <w:sz w:val="28"/>
      <w:szCs w:val="28"/>
    </w:rPr>
  </w:style>
  <w:style w:type="character" w:customStyle="1" w:styleId="50">
    <w:name w:val="脚注文本 Char"/>
    <w:link w:val="14"/>
    <w:semiHidden/>
    <w:uiPriority w:val="0"/>
    <w:rPr>
      <w:rFonts w:ascii="Calibri" w:hAnsi="Calibri" w:eastAsia="宋体"/>
      <w:kern w:val="2"/>
      <w:sz w:val="18"/>
      <w:szCs w:val="18"/>
      <w:lang w:bidi="ar-SA"/>
    </w:rPr>
  </w:style>
  <w:style w:type="character" w:customStyle="1" w:styleId="51">
    <w:name w:val="标题 2 Char"/>
    <w:link w:val="3"/>
    <w:uiPriority w:val="0"/>
    <w:rPr>
      <w:rFonts w:ascii="Arial" w:hAnsi="Arial" w:eastAsia="黑体"/>
      <w:b/>
      <w:bCs/>
      <w:kern w:val="2"/>
      <w:sz w:val="32"/>
      <w:szCs w:val="32"/>
    </w:rPr>
  </w:style>
  <w:style w:type="character" w:customStyle="1" w:styleId="52">
    <w:name w:val="批注文字 Char"/>
    <w:link w:val="7"/>
    <w:uiPriority w:val="99"/>
    <w:rPr>
      <w:kern w:val="2"/>
      <w:sz w:val="21"/>
      <w:szCs w:val="24"/>
    </w:rPr>
  </w:style>
  <w:style w:type="character" w:customStyle="1" w:styleId="53">
    <w:name w:val="批注框文本 Char"/>
    <w:link w:val="11"/>
    <w:uiPriority w:val="0"/>
    <w:rPr>
      <w:rFonts w:ascii="Calibri" w:hAnsi="Calibri"/>
      <w:kern w:val="2"/>
      <w:sz w:val="18"/>
      <w:szCs w:val="18"/>
    </w:rPr>
  </w:style>
  <w:style w:type="character" w:customStyle="1" w:styleId="54">
    <w:name w:val="Body Char"/>
    <w:link w:val="26"/>
    <w:uiPriority w:val="0"/>
    <w:rPr>
      <w:color w:val="000000"/>
      <w:sz w:val="21"/>
      <w:szCs w:val="21"/>
    </w:rPr>
  </w:style>
  <w:style w:type="character" w:customStyle="1" w:styleId="55">
    <w:name w:val="正文文本 Char"/>
    <w:link w:val="10"/>
    <w:uiPriority w:val="0"/>
    <w:rPr>
      <w:sz w:val="24"/>
      <w:szCs w:val="24"/>
    </w:rPr>
  </w:style>
  <w:style w:type="character" w:customStyle="1" w:styleId="56">
    <w:name w:val="标题 3 Char"/>
    <w:link w:val="4"/>
    <w:uiPriority w:val="0"/>
    <w:rPr>
      <w:b/>
      <w:bCs/>
      <w:kern w:val="2"/>
      <w:sz w:val="32"/>
      <w:szCs w:val="32"/>
    </w:rPr>
  </w:style>
  <w:style w:type="character" w:customStyle="1" w:styleId="57">
    <w:name w:val="标题2 Char"/>
    <w:link w:val="29"/>
    <w:uiPriority w:val="0"/>
    <w:rPr>
      <w:rFonts w:ascii="Arial" w:hAnsi="Arial"/>
      <w:b/>
      <w:bCs/>
      <w:spacing w:val="20"/>
      <w:kern w:val="28"/>
      <w:sz w:val="21"/>
      <w:szCs w:val="21"/>
    </w:rPr>
  </w:style>
  <w:style w:type="character" w:customStyle="1" w:styleId="58">
    <w:name w:val="标题 1 Char"/>
    <w:link w:val="2"/>
    <w:uiPriority w:val="0"/>
    <w:rPr>
      <w:rFonts w:ascii="Calibri" w:hAnsi="Calibri"/>
      <w:b/>
      <w:bCs/>
      <w:kern w:val="44"/>
      <w:sz w:val="44"/>
      <w:szCs w:val="44"/>
    </w:rPr>
  </w:style>
  <w:style w:type="character" w:customStyle="1" w:styleId="59">
    <w:name w:val="标题 4 Char"/>
    <w:link w:val="5"/>
    <w:semiHidden/>
    <w:uiPriority w:val="0"/>
    <w:rPr>
      <w:rFonts w:ascii="Cambria" w:hAnsi="Cambria" w:eastAsia="宋体" w:cs="Times New Roman"/>
      <w:b/>
      <w:bCs/>
      <w:kern w:val="2"/>
      <w:sz w:val="28"/>
      <w:szCs w:val="28"/>
    </w:rPr>
  </w:style>
  <w:style w:type="character" w:customStyle="1" w:styleId="60">
    <w:name w:val="我的正文 Char"/>
    <w:link w:val="33"/>
    <w:uiPriority w:val="0"/>
    <w:rPr>
      <w:rFonts w:ascii="仿宋" w:hAnsi="仿宋" w:eastAsia="仿宋"/>
      <w:color w:val="FF0000"/>
      <w:kern w:val="2"/>
      <w:sz w:val="21"/>
      <w:szCs w:val="30"/>
    </w:rPr>
  </w:style>
  <w:style w:type="character" w:customStyle="1" w:styleId="61">
    <w:name w:val="表头文字 Char"/>
    <w:link w:val="35"/>
    <w:uiPriority w:val="0"/>
    <w:rPr>
      <w:rFonts w:ascii="Arial" w:hAnsi="Arial"/>
      <w:b/>
      <w:kern w:val="2"/>
      <w:sz w:val="18"/>
    </w:rPr>
  </w:style>
  <w:style w:type="character" w:customStyle="1" w:styleId="62">
    <w:name w:val="表格内文字 Char"/>
    <w:link w:val="36"/>
    <w:uiPriority w:val="0"/>
    <w:rPr>
      <w:rFonts w:ascii="Arial" w:hAnsi="Arial"/>
      <w:kern w:val="2"/>
      <w:sz w:val="18"/>
      <w:szCs w:val="18"/>
    </w:rPr>
  </w:style>
  <w:style w:type="character" w:customStyle="1" w:styleId="63">
    <w:name w:val="批注主题 Char"/>
    <w:basedOn w:val="52"/>
    <w:link w:val="6"/>
    <w:uiPriority w:val="0"/>
    <w:rPr>
      <w:rFonts w:ascii="Calibri" w:hAnsi="Calibri" w:eastAsia="华文仿宋"/>
      <w:b/>
      <w:bCs/>
      <w:szCs w:val="22"/>
    </w:rPr>
  </w:style>
  <w:style w:type="character" w:customStyle="1" w:styleId="64">
    <w:name w:val="表内文字 Char"/>
    <w:basedOn w:val="16"/>
    <w:link w:val="41"/>
    <w:uiPriority w:val="0"/>
    <w:rPr>
      <w:rFonts w:ascii="Arial Unicode MS" w:hAnsi="Arial Unicode MS" w:eastAsia="微软雅黑" w:cs="宋体"/>
      <w:bCs/>
      <w:sz w:val="18"/>
      <w:szCs w:val="18"/>
    </w:rPr>
  </w:style>
  <w:style w:type="character" w:customStyle="1" w:styleId="65">
    <w:name w:val="页脚 Char"/>
    <w:basedOn w:val="16"/>
    <w:link w:val="12"/>
    <w:uiPriority w:val="99"/>
    <w:rPr>
      <w:rFonts w:ascii="Calibri" w:hAnsi="Calibri" w:eastAsia="华文仿宋"/>
      <w:kern w:val="2"/>
      <w:sz w:val="18"/>
      <w:szCs w:val="18"/>
    </w:rPr>
  </w:style>
  <w:style w:type="character" w:customStyle="1" w:styleId="66">
    <w:name w:val="文档结构图 Char"/>
    <w:basedOn w:val="16"/>
    <w:link w:val="9"/>
    <w:uiPriority w:val="99"/>
    <w:rPr>
      <w:rFonts w:ascii="宋体" w:hAnsi="Calibri"/>
      <w:kern w:val="2"/>
      <w:sz w:val="18"/>
      <w:szCs w:val="18"/>
    </w:rPr>
  </w:style>
  <w:style w:type="character" w:customStyle="1" w:styleId="67">
    <w:name w:val="正文1 Char"/>
    <w:basedOn w:val="16"/>
    <w:link w:val="43"/>
    <w:uiPriority w:val="0"/>
    <w:rPr>
      <w:rFonts w:ascii="仿宋_GB2312" w:hAnsi="宋体" w:eastAsia="仿宋_GB2312" w:cs="Arial"/>
      <w:sz w:val="30"/>
      <w:szCs w:val="30"/>
    </w:rPr>
  </w:style>
  <w:style w:type="character" w:customStyle="1" w:styleId="68">
    <w:name w:val="event Char"/>
    <w:link w:val="44"/>
    <w:uiPriority w:val="0"/>
    <w:rPr>
      <w:rFonts w:ascii="仿宋" w:hAnsi="仿宋" w:eastAsia="仿宋"/>
      <w:kern w:val="2"/>
      <w:sz w:val="28"/>
      <w:szCs w:val="28"/>
    </w:rPr>
  </w:style>
  <w:style w:type="character" w:customStyle="1" w:styleId="69">
    <w:name w:val="table样式1 Char"/>
    <w:basedOn w:val="16"/>
    <w:link w:val="45"/>
    <w:uiPriority w:val="0"/>
    <w:rPr>
      <w:rFonts w:ascii="宋体" w:hAnsi="宋体" w:eastAsia="宋体"/>
      <w:kern w:val="2"/>
      <w:sz w:val="24"/>
      <w:szCs w:val="24"/>
    </w:rPr>
  </w:style>
  <w:style w:type="character" w:customStyle="1" w:styleId="70">
    <w:name w:val="规划正文 Char"/>
    <w:link w:val="46"/>
    <w:uiPriority w:val="0"/>
    <w:rPr>
      <w:rFonts w:ascii="仿宋_GB2312" w:hAnsi="仿宋_GB2312" w:eastAsia="仿宋_GB2312"/>
      <w:sz w:val="32"/>
    </w:rPr>
  </w:style>
  <w:style w:type="character" w:customStyle="1" w:styleId="71">
    <w:name w:val="ok Char"/>
    <w:basedOn w:val="67"/>
    <w:link w:val="47"/>
    <w:uiPriority w:val="0"/>
    <w:rPr/>
  </w:style>
  <w:style w:type="character" w:customStyle="1" w:styleId="72">
    <w:name w:val="ol Char"/>
    <w:basedOn w:val="16"/>
    <w:link w:val="49"/>
    <w:uiPriority w:val="0"/>
    <w:rPr>
      <w:rFonts w:ascii="仿宋_GB2312" w:hAnsi="仿宋_GB2312" w:eastAsia="仿宋_GB2312" w:cs="仿宋_GB2312"/>
      <w:sz w:val="28"/>
      <w:szCs w:val="28"/>
    </w:rPr>
  </w:style>
  <w:style w:type="character" w:customStyle="1" w:styleId="73">
    <w:name w:val="apple-converted-space"/>
    <w:basedOn w:val="16"/>
    <w:uiPriority w:val="0"/>
    <w:rPr/>
  </w:style>
  <w:style w:type="table" w:customStyle="1" w:styleId="74">
    <w:name w:val="2桔黄色"/>
    <w:basedOn w:val="23"/>
    <w:uiPriority w:val="0"/>
    <w:pPr/>
    <w:tblPr>
      <w:tblStyle w:val="21"/>
      <w:tblStyleRowBandSize w:val="1"/>
      <w:tblStyleColBandSize w:val="1"/>
      <w:tblBorders>
        <w:insideH w:val="single" w:color="FFFFFF" w:sz="18" w:space="0"/>
        <w:insideV w:val="single" w:color="FFFFFF" w:sz="18" w:space="0"/>
      </w:tblBorders>
      <w:tblLayout w:type="fixed"/>
      <w:tblCellMar>
        <w:top w:w="0" w:type="dxa"/>
        <w:left w:w="108" w:type="dxa"/>
        <w:bottom w:w="0" w:type="dxa"/>
        <w:right w:w="108" w:type="dxa"/>
      </w:tblCellMar>
    </w:tblPr>
    <w:tcPr>
      <w:shd w:val="clear" w:color="auto" w:fill="B1E5FD"/>
      <w:textDirection w:val="lrTb"/>
    </w:tcPr>
    <w:tblStylePr w:type="firstRow">
      <w:rPr>
        <w:rFonts w:eastAsia="华文彩云"/>
        <w:b/>
        <w:bCs/>
        <w:i w:val="0"/>
        <w:color w:val="auto"/>
      </w:rPr>
      <w:tblPr>
        <w:tblStyle w:val="21"/>
        <w:tblLayout w:type="fixed"/>
      </w:tblPr>
      <w:tcPr>
        <w:shd w:val="clear" w:color="auto" w:fill="FF7F00"/>
        <w:textDirection w:val="lrTb"/>
      </w:tcPr>
    </w:tblStylePr>
    <w:tblStylePr w:type="band1Vert">
      <w:tblPr>
        <w:tblStyle w:val="21"/>
        <w:tblLayout w:type="fixed"/>
      </w:tblPr>
      <w:tcPr>
        <w:shd w:val="clear" w:color="auto" w:fill="FFBA75"/>
        <w:textDirection w:val="lrTb"/>
      </w:tcPr>
    </w:tblStylePr>
    <w:tblStylePr w:type="band2Vert">
      <w:tblPr>
        <w:tblStyle w:val="21"/>
        <w:tblLayout w:type="fixed"/>
      </w:tblPr>
      <w:tcPr>
        <w:shd w:val="clear" w:color="auto" w:fill="FFDCB9"/>
        <w:textDirection w:val="lrTb"/>
      </w:tcPr>
    </w:tblStylePr>
    <w:tblStylePr w:type="band1Horz">
      <w:rPr>
        <w:color w:val="auto"/>
      </w:rPr>
      <w:tblPr>
        <w:tblStyle w:val="21"/>
        <w:tblLayout w:type="fixed"/>
      </w:tblPr>
      <w:tcPr>
        <w:shd w:val="clear" w:color="auto" w:fill="CCECFF"/>
        <w:textDirection w:val="lrTb"/>
      </w:tcPr>
    </w:tblStylePr>
    <w:tblStylePr w:type="band2Horz">
      <w:rPr>
        <w:color w:val="auto"/>
      </w:rPr>
      <w:tblPr>
        <w:tblStyle w:val="21"/>
        <w:tblLayout w:type="fixed"/>
      </w:tblPr>
      <w:tcPr>
        <w:shd w:val="clear" w:color="auto" w:fill="89D8FF"/>
        <w:textDirection w:val="lrTb"/>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25</Pages>
  <Words>1678</Words>
  <Characters>9565</Characters>
  <Lines>79</Lines>
  <Paragraphs>22</Paragraphs>
  <TotalTime>0</TotalTime>
  <ScaleCrop>false</ScaleCrop>
  <LinksUpToDate>false</LinksUpToDate>
  <CharactersWithSpaces>0</CharactersWithSpaces>
  <Application>WPS Office 个人版_9.1.0.4954_{F1E327BC-269C-435d-A152-05C5408002CA}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2015-03-23T08:29:00Z</dcterms:created>
  <dc:creator>Administrator</dc:creator>
  <cp:lastModifiedBy>Administrator</cp:lastModifiedBy>
  <cp:lastPrinted>2012-12-11T02:10:00Z</cp:lastPrinted>
  <dcterms:modified xsi:type="dcterms:W3CDTF">2015-03-24T12:23:27Z</dcterms:modified>
  <dc:title>2015年全国职业院校技能大赛高职组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