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hint="eastAsia" w:ascii="黑体" w:hAnsi="黑体" w:eastAsia="黑体"/>
          <w:b/>
          <w:bCs/>
          <w:sz w:val="36"/>
          <w:szCs w:val="36"/>
        </w:rPr>
      </w:pPr>
    </w:p>
    <w:p>
      <w:pPr>
        <w:spacing w:line="360" w:lineRule="auto"/>
        <w:jc w:val="center"/>
        <w:rPr>
          <w:rFonts w:ascii="黑体" w:hAnsi="黑体" w:eastAsia="黑体"/>
          <w:b/>
          <w:bCs/>
          <w:sz w:val="36"/>
          <w:szCs w:val="36"/>
        </w:rPr>
      </w:pPr>
      <w:r>
        <w:rPr>
          <w:rFonts w:hint="eastAsia" w:ascii="黑体" w:hAnsi="黑体" w:eastAsia="黑体"/>
          <w:b/>
          <w:bCs/>
          <w:sz w:val="36"/>
          <w:szCs w:val="36"/>
        </w:rPr>
        <w:t>2015年全国职业院校技能大赛高职组</w:t>
      </w:r>
    </w:p>
    <w:p>
      <w:pPr>
        <w:spacing w:line="360" w:lineRule="auto"/>
        <w:jc w:val="center"/>
        <w:rPr>
          <w:rFonts w:ascii="黑体" w:hAnsi="黑体" w:eastAsia="黑体"/>
          <w:sz w:val="36"/>
          <w:szCs w:val="36"/>
        </w:rPr>
      </w:pPr>
      <w:r>
        <w:rPr>
          <w:rFonts w:hint="eastAsia" w:ascii="黑体" w:hAnsi="黑体" w:eastAsia="黑体"/>
          <w:b/>
          <w:bCs/>
          <w:sz w:val="36"/>
          <w:szCs w:val="36"/>
        </w:rPr>
        <w:t>“信息安全管理与评估”赛项规程</w:t>
      </w:r>
    </w:p>
    <w:p>
      <w:pPr>
        <w:spacing w:line="360" w:lineRule="auto"/>
        <w:jc w:val="center"/>
        <w:rPr>
          <w:rFonts w:ascii="黑体" w:hAnsi="黑体" w:eastAsia="黑体"/>
          <w:sz w:val="36"/>
          <w:szCs w:val="36"/>
        </w:rPr>
      </w:pPr>
    </w:p>
    <w:p>
      <w:pPr>
        <w:widowControl w:val="0"/>
        <w:wordWrap/>
        <w:spacing w:line="560" w:lineRule="exact"/>
        <w:ind w:right="0"/>
        <w:jc w:val="both"/>
        <w:textAlignment w:val="auto"/>
        <w:outlineLvl w:val="9"/>
        <w:rPr>
          <w:rFonts w:ascii="仿宋_GB2312" w:hAnsi="黑体" w:eastAsia="仿宋_GB2312"/>
          <w:b/>
          <w:sz w:val="28"/>
          <w:szCs w:val="28"/>
        </w:rPr>
      </w:pPr>
      <w:r>
        <w:rPr>
          <w:rFonts w:hint="eastAsia" w:ascii="仿宋_GB2312" w:hAnsi="黑体" w:eastAsia="仿宋_GB2312"/>
          <w:b/>
          <w:sz w:val="28"/>
          <w:szCs w:val="28"/>
          <w:lang w:val="en-US" w:eastAsia="zh-CN"/>
        </w:rPr>
        <w:t xml:space="preserve">    </w:t>
      </w:r>
      <w:r>
        <w:rPr>
          <w:rFonts w:hint="eastAsia" w:ascii="仿宋_GB2312" w:hAnsi="黑体" w:eastAsia="仿宋_GB2312"/>
          <w:b/>
          <w:sz w:val="28"/>
          <w:szCs w:val="28"/>
        </w:rPr>
        <w:t>一、赛项名称</w:t>
      </w:r>
    </w:p>
    <w:p>
      <w:pPr>
        <w:widowControl w:val="0"/>
        <w:wordWrap/>
        <w:spacing w:line="560" w:lineRule="exact"/>
        <w:ind w:right="0" w:firstLine="549" w:firstLineChars="196"/>
        <w:jc w:val="both"/>
        <w:textAlignment w:val="auto"/>
        <w:outlineLvl w:val="9"/>
        <w:rPr>
          <w:rFonts w:ascii="仿宋_GB2312" w:hAnsi="宋体" w:eastAsia="仿宋_GB2312"/>
          <w:sz w:val="28"/>
          <w:szCs w:val="28"/>
        </w:rPr>
      </w:pPr>
      <w:r>
        <w:rPr>
          <w:rFonts w:hint="eastAsia" w:ascii="仿宋_GB2312" w:hAnsi="宋体" w:eastAsia="仿宋_GB2312"/>
          <w:sz w:val="28"/>
          <w:szCs w:val="28"/>
        </w:rPr>
        <w:t>赛项编号：GG-046</w:t>
      </w:r>
    </w:p>
    <w:p>
      <w:pPr>
        <w:widowControl w:val="0"/>
        <w:wordWrap/>
        <w:adjustRightInd w:val="0"/>
        <w:snapToGrid w:val="0"/>
        <w:spacing w:line="560" w:lineRule="exact"/>
        <w:ind w:right="0" w:firstLine="560" w:firstLineChars="200"/>
        <w:jc w:val="both"/>
        <w:textAlignment w:val="auto"/>
        <w:outlineLvl w:val="9"/>
        <w:rPr>
          <w:rFonts w:ascii="仿宋_GB2312" w:hAnsi="宋体" w:eastAsia="仿宋_GB2312"/>
          <w:sz w:val="28"/>
          <w:szCs w:val="28"/>
        </w:rPr>
      </w:pPr>
      <w:r>
        <w:rPr>
          <w:rFonts w:hint="eastAsia" w:ascii="仿宋_GB2312" w:hAnsi="宋体" w:eastAsia="仿宋_GB2312"/>
          <w:sz w:val="28"/>
          <w:szCs w:val="28"/>
        </w:rPr>
        <w:t>赛项名称：信息安全管理与评估</w:t>
      </w:r>
    </w:p>
    <w:p>
      <w:pPr>
        <w:widowControl w:val="0"/>
        <w:wordWrap/>
        <w:adjustRightInd w:val="0"/>
        <w:snapToGrid w:val="0"/>
        <w:spacing w:line="560" w:lineRule="exact"/>
        <w:ind w:right="0" w:firstLine="560" w:firstLineChars="200"/>
        <w:jc w:val="both"/>
        <w:textAlignment w:val="auto"/>
        <w:outlineLvl w:val="9"/>
        <w:rPr>
          <w:rFonts w:ascii="仿宋_GB2312" w:hAnsi="宋体" w:eastAsia="仿宋_GB2312"/>
          <w:sz w:val="28"/>
          <w:szCs w:val="28"/>
        </w:rPr>
      </w:pPr>
      <w:r>
        <w:rPr>
          <w:rFonts w:hint="eastAsia" w:ascii="仿宋_GB2312" w:hAnsi="宋体" w:eastAsia="仿宋_GB2312"/>
          <w:sz w:val="28"/>
          <w:szCs w:val="28"/>
        </w:rPr>
        <w:t>英语翻译：Information security management and evaluation</w:t>
      </w:r>
    </w:p>
    <w:p>
      <w:pPr>
        <w:widowControl w:val="0"/>
        <w:wordWrap/>
        <w:adjustRightInd w:val="0"/>
        <w:snapToGrid w:val="0"/>
        <w:spacing w:line="560" w:lineRule="exact"/>
        <w:ind w:right="0" w:firstLine="560" w:firstLineChars="200"/>
        <w:jc w:val="both"/>
        <w:textAlignment w:val="auto"/>
        <w:outlineLvl w:val="9"/>
        <w:rPr>
          <w:rFonts w:ascii="仿宋_GB2312" w:hAnsi="宋体" w:eastAsia="仿宋_GB2312"/>
          <w:sz w:val="28"/>
          <w:szCs w:val="28"/>
        </w:rPr>
      </w:pPr>
      <w:r>
        <w:rPr>
          <w:rFonts w:hint="eastAsia" w:ascii="仿宋_GB2312" w:hAnsi="宋体" w:eastAsia="仿宋_GB2312"/>
          <w:sz w:val="28"/>
          <w:szCs w:val="28"/>
        </w:rPr>
        <w:t>赛项组别：高职组</w:t>
      </w:r>
    </w:p>
    <w:p>
      <w:pPr>
        <w:widowControl w:val="0"/>
        <w:wordWrap/>
        <w:adjustRightInd w:val="0"/>
        <w:snapToGrid w:val="0"/>
        <w:spacing w:line="560" w:lineRule="exact"/>
        <w:ind w:right="0" w:firstLine="560" w:firstLineChars="200"/>
        <w:jc w:val="both"/>
        <w:textAlignment w:val="auto"/>
        <w:outlineLvl w:val="9"/>
        <w:rPr>
          <w:rFonts w:ascii="仿宋_GB2312" w:hAnsi="宋体" w:eastAsia="仿宋_GB2312"/>
          <w:sz w:val="28"/>
          <w:szCs w:val="28"/>
        </w:rPr>
      </w:pPr>
      <w:r>
        <w:rPr>
          <w:rFonts w:hint="eastAsia" w:ascii="仿宋_GB2312" w:hAnsi="宋体" w:eastAsia="仿宋_GB2312"/>
          <w:sz w:val="28"/>
          <w:szCs w:val="28"/>
        </w:rPr>
        <w:t>赛项归属产业：电子信息产业</w:t>
      </w:r>
    </w:p>
    <w:p>
      <w:pPr>
        <w:widowControl w:val="0"/>
        <w:wordWrap/>
        <w:spacing w:line="560" w:lineRule="exact"/>
        <w:ind w:right="0"/>
        <w:jc w:val="both"/>
        <w:textAlignment w:val="auto"/>
        <w:outlineLvl w:val="9"/>
        <w:rPr>
          <w:rFonts w:ascii="仿宋_GB2312" w:hAnsi="黑体" w:eastAsia="仿宋_GB2312"/>
          <w:b/>
          <w:sz w:val="28"/>
          <w:szCs w:val="28"/>
        </w:rPr>
      </w:pPr>
      <w:r>
        <w:rPr>
          <w:rFonts w:hint="eastAsia" w:ascii="仿宋_GB2312" w:hAnsi="黑体" w:eastAsia="仿宋_GB2312"/>
          <w:b/>
          <w:sz w:val="28"/>
          <w:szCs w:val="28"/>
          <w:lang w:val="en-US" w:eastAsia="zh-CN"/>
        </w:rPr>
        <w:t xml:space="preserve">    </w:t>
      </w:r>
      <w:r>
        <w:rPr>
          <w:rFonts w:hint="eastAsia" w:ascii="仿宋_GB2312" w:hAnsi="黑体" w:eastAsia="仿宋_GB2312"/>
          <w:b/>
          <w:sz w:val="28"/>
          <w:szCs w:val="28"/>
        </w:rPr>
        <w:t>二、竞赛目的</w:t>
      </w:r>
    </w:p>
    <w:p>
      <w:pPr>
        <w:widowControl w:val="0"/>
        <w:wordWrap/>
        <w:spacing w:line="560" w:lineRule="exact"/>
        <w:ind w:right="0" w:firstLine="549" w:firstLineChars="196"/>
        <w:jc w:val="both"/>
        <w:textAlignment w:val="auto"/>
        <w:outlineLvl w:val="9"/>
        <w:rPr>
          <w:rFonts w:ascii="仿宋_GB2312" w:hAnsi="宋体" w:eastAsia="仿宋_GB2312"/>
          <w:sz w:val="28"/>
          <w:szCs w:val="28"/>
        </w:rPr>
      </w:pPr>
      <w:r>
        <w:rPr>
          <w:rFonts w:hint="eastAsia" w:ascii="仿宋_GB2312" w:hAnsi="宋体" w:eastAsia="仿宋_GB2312"/>
          <w:sz w:val="28"/>
          <w:szCs w:val="28"/>
        </w:rPr>
        <w:t>通过赛项检验参赛选手网络组建、安全架构和网络安全运维管控等方面的技术技能，检验参赛队组织和团队协作等综合职业素养，培养学生创新能力和实践动手能力，提升学生职业能力和就业竞争力。丰富完善学习领域课程建设，使人才培养更贴近岗位实际，实现以赛促教、以赛促学、以赛促改的产教结合格局，提升专业培养服务社会和行业发展的能力，为国家信息安全行业培养选拔技术技能型人才。</w:t>
      </w:r>
    </w:p>
    <w:p>
      <w:pPr>
        <w:widowControl w:val="0"/>
        <w:wordWrap/>
        <w:spacing w:line="560" w:lineRule="exact"/>
        <w:ind w:right="0"/>
        <w:jc w:val="both"/>
        <w:textAlignment w:val="auto"/>
        <w:outlineLvl w:val="9"/>
        <w:rPr>
          <w:rFonts w:ascii="仿宋_GB2312" w:hAnsi="黑体" w:eastAsia="仿宋_GB2312"/>
          <w:b/>
          <w:sz w:val="28"/>
          <w:szCs w:val="28"/>
        </w:rPr>
      </w:pPr>
      <w:r>
        <w:rPr>
          <w:rFonts w:hint="eastAsia" w:ascii="仿宋_GB2312" w:hAnsi="黑体" w:eastAsia="仿宋_GB2312"/>
          <w:b/>
          <w:sz w:val="28"/>
          <w:szCs w:val="28"/>
          <w:lang w:val="en-US" w:eastAsia="zh-CN"/>
        </w:rPr>
        <w:t xml:space="preserve">    </w:t>
      </w:r>
      <w:r>
        <w:rPr>
          <w:rFonts w:hint="eastAsia" w:ascii="仿宋_GB2312" w:hAnsi="黑体" w:eastAsia="仿宋_GB2312"/>
          <w:b/>
          <w:sz w:val="28"/>
          <w:szCs w:val="28"/>
        </w:rPr>
        <w:t>三、竞赛内容</w:t>
      </w:r>
    </w:p>
    <w:p>
      <w:pPr>
        <w:widowControl w:val="0"/>
        <w:wordWrap/>
        <w:adjustRightInd w:val="0"/>
        <w:snapToGrid w:val="0"/>
        <w:spacing w:line="560" w:lineRule="exact"/>
        <w:ind w:right="0" w:firstLine="560" w:firstLineChars="200"/>
        <w:jc w:val="both"/>
        <w:textAlignment w:val="auto"/>
        <w:outlineLvl w:val="9"/>
        <w:rPr>
          <w:rFonts w:ascii="仿宋_GB2312" w:hAnsi="宋体" w:eastAsia="仿宋_GB2312"/>
          <w:sz w:val="28"/>
          <w:szCs w:val="28"/>
        </w:rPr>
      </w:pPr>
      <w:r>
        <w:rPr>
          <w:rFonts w:hint="eastAsia" w:ascii="仿宋_GB2312" w:hAnsi="宋体" w:eastAsia="仿宋_GB2312"/>
          <w:sz w:val="28"/>
          <w:szCs w:val="28"/>
        </w:rPr>
        <w:t>重点考核参赛选手网络组建、网络系统安全策略部署、信息保护、网络安全运维管理的综合实践能力，具体包括：</w:t>
      </w:r>
    </w:p>
    <w:p>
      <w:pPr>
        <w:widowControl w:val="0"/>
        <w:numPr>
          <w:ilvl w:val="0"/>
          <w:numId w:val="1"/>
        </w:numPr>
        <w:wordWrap/>
        <w:adjustRightInd w:val="0"/>
        <w:snapToGrid w:val="0"/>
        <w:spacing w:line="560" w:lineRule="exact"/>
        <w:ind w:left="0" w:right="0" w:firstLine="560" w:firstLineChars="200"/>
        <w:jc w:val="both"/>
        <w:textAlignment w:val="auto"/>
        <w:outlineLvl w:val="9"/>
        <w:rPr>
          <w:rFonts w:ascii="仿宋_GB2312" w:hAnsi="宋体" w:eastAsia="仿宋_GB2312"/>
          <w:sz w:val="28"/>
          <w:szCs w:val="28"/>
        </w:rPr>
      </w:pPr>
      <w:r>
        <w:rPr>
          <w:rFonts w:hint="eastAsia" w:ascii="仿宋_GB2312" w:hAnsi="宋体" w:eastAsia="仿宋_GB2312"/>
          <w:sz w:val="28"/>
          <w:szCs w:val="28"/>
        </w:rPr>
        <w:t>参赛选手能够根据大赛提供的赛项要求，设计信息安全防护方案，并且能够提供详细的信息安全防护设备部署拓扑图。</w:t>
      </w:r>
    </w:p>
    <w:p>
      <w:pPr>
        <w:widowControl w:val="0"/>
        <w:numPr>
          <w:ilvl w:val="0"/>
          <w:numId w:val="1"/>
        </w:numPr>
        <w:wordWrap/>
        <w:adjustRightInd w:val="0"/>
        <w:snapToGrid w:val="0"/>
        <w:spacing w:line="560" w:lineRule="exact"/>
        <w:ind w:left="0" w:right="0" w:firstLine="560" w:firstLineChars="200"/>
        <w:jc w:val="both"/>
        <w:textAlignment w:val="auto"/>
        <w:outlineLvl w:val="9"/>
        <w:rPr>
          <w:rFonts w:ascii="仿宋_GB2312" w:hAnsi="宋体" w:eastAsia="仿宋_GB2312"/>
          <w:sz w:val="28"/>
          <w:szCs w:val="28"/>
        </w:rPr>
      </w:pPr>
      <w:r>
        <w:rPr>
          <w:rFonts w:hint="eastAsia" w:ascii="仿宋_GB2312" w:hAnsi="宋体" w:eastAsia="仿宋_GB2312"/>
          <w:sz w:val="28"/>
          <w:szCs w:val="28"/>
        </w:rPr>
        <w:t>参赛选手能够根据业务需求和实际的工程应用环境，实现网络设备、安全设备、服务器的连接，通过调试，实现设备互联互通。</w:t>
      </w:r>
    </w:p>
    <w:p>
      <w:pPr>
        <w:widowControl w:val="0"/>
        <w:numPr>
          <w:ilvl w:val="0"/>
          <w:numId w:val="1"/>
        </w:numPr>
        <w:wordWrap/>
        <w:adjustRightInd w:val="0"/>
        <w:snapToGrid w:val="0"/>
        <w:spacing w:line="560" w:lineRule="exact"/>
        <w:ind w:left="0" w:right="0" w:firstLine="560" w:firstLineChars="200"/>
        <w:jc w:val="both"/>
        <w:textAlignment w:val="auto"/>
        <w:outlineLvl w:val="9"/>
        <w:rPr>
          <w:rFonts w:ascii="仿宋_GB2312" w:hAnsi="宋体" w:eastAsia="仿宋_GB2312"/>
          <w:sz w:val="28"/>
          <w:szCs w:val="28"/>
        </w:rPr>
      </w:pPr>
      <w:r>
        <w:rPr>
          <w:rFonts w:hint="eastAsia" w:ascii="仿宋_GB2312" w:hAnsi="宋体" w:eastAsia="仿宋_GB2312"/>
          <w:sz w:val="28"/>
          <w:szCs w:val="28"/>
        </w:rPr>
        <w:t>参赛选手能够在赛项提供的网络设备及服务器上配置各种协议和服务，实现网络系统的运行，并根据网络业务需求配置各种安全策略，以满足应用需求。</w:t>
      </w:r>
    </w:p>
    <w:p>
      <w:pPr>
        <w:widowControl w:val="0"/>
        <w:numPr>
          <w:ilvl w:val="0"/>
          <w:numId w:val="1"/>
        </w:numPr>
        <w:wordWrap/>
        <w:adjustRightInd w:val="0"/>
        <w:snapToGrid w:val="0"/>
        <w:spacing w:line="560" w:lineRule="exact"/>
        <w:ind w:left="0" w:right="0" w:firstLine="560" w:firstLineChars="200"/>
        <w:jc w:val="both"/>
        <w:textAlignment w:val="auto"/>
        <w:outlineLvl w:val="9"/>
        <w:rPr>
          <w:rFonts w:ascii="仿宋_GB2312" w:hAnsi="宋体" w:eastAsia="仿宋_GB2312"/>
          <w:sz w:val="28"/>
          <w:szCs w:val="28"/>
        </w:rPr>
      </w:pPr>
      <w:r>
        <w:rPr>
          <w:rFonts w:hint="eastAsia" w:ascii="仿宋_GB2312" w:hAnsi="宋体" w:eastAsia="仿宋_GB2312"/>
          <w:sz w:val="28"/>
          <w:szCs w:val="28"/>
        </w:rPr>
        <w:t>参赛选手能够根据网络实际运行中面临的安全威胁，指定安全策略并部署实施，防范并解决网络恶意入侵和攻击行为。</w:t>
      </w:r>
    </w:p>
    <w:p>
      <w:pPr>
        <w:widowControl w:val="0"/>
        <w:numPr>
          <w:ilvl w:val="0"/>
          <w:numId w:val="1"/>
        </w:numPr>
        <w:wordWrap/>
        <w:adjustRightInd w:val="0"/>
        <w:snapToGrid w:val="0"/>
        <w:spacing w:line="560" w:lineRule="exact"/>
        <w:ind w:left="0" w:right="0" w:firstLine="560" w:firstLineChars="200"/>
        <w:jc w:val="both"/>
        <w:textAlignment w:val="auto"/>
        <w:outlineLvl w:val="9"/>
        <w:rPr>
          <w:rFonts w:ascii="仿宋_GB2312" w:hAnsi="宋体" w:eastAsia="仿宋_GB2312"/>
          <w:sz w:val="28"/>
          <w:szCs w:val="28"/>
        </w:rPr>
      </w:pPr>
      <w:r>
        <w:rPr>
          <w:rFonts w:hint="eastAsia" w:ascii="仿宋_GB2312" w:hAnsi="宋体" w:eastAsia="仿宋_GB2312"/>
          <w:sz w:val="28"/>
          <w:szCs w:val="28"/>
        </w:rPr>
        <w:t>参赛选手能够按照要求准确撰写工作总结。</w:t>
      </w:r>
    </w:p>
    <w:p>
      <w:pPr>
        <w:widowControl w:val="0"/>
        <w:numPr>
          <w:ilvl w:val="0"/>
          <w:numId w:val="1"/>
        </w:numPr>
        <w:wordWrap/>
        <w:adjustRightInd w:val="0"/>
        <w:snapToGrid w:val="0"/>
        <w:spacing w:line="560" w:lineRule="exact"/>
        <w:ind w:left="0" w:right="0" w:firstLine="560" w:firstLineChars="200"/>
        <w:jc w:val="both"/>
        <w:textAlignment w:val="auto"/>
        <w:outlineLvl w:val="9"/>
        <w:rPr>
          <w:rFonts w:ascii="仿宋_GB2312" w:hAnsi="宋体" w:eastAsia="仿宋_GB2312"/>
          <w:sz w:val="28"/>
          <w:szCs w:val="28"/>
        </w:rPr>
      </w:pPr>
      <w:r>
        <w:rPr>
          <w:rFonts w:hint="eastAsia" w:ascii="仿宋_GB2312" w:hAnsi="宋体" w:eastAsia="仿宋_GB2312"/>
          <w:sz w:val="28"/>
          <w:szCs w:val="28"/>
        </w:rPr>
        <w:t>以参赛队为单位进行分组对抗，在防护本参赛队服务器的同时，渗透其他参赛队的服务器，服务器被渗透的参赛队立即下线，该参赛队比赛结束，选手出场。比赛结果通过大屏幕等形式在休息区实时展示。</w:t>
      </w:r>
    </w:p>
    <w:p>
      <w:pPr>
        <w:widowControl w:val="0"/>
        <w:numPr>
          <w:ilvl w:val="0"/>
          <w:numId w:val="1"/>
        </w:numPr>
        <w:wordWrap/>
        <w:adjustRightInd w:val="0"/>
        <w:snapToGrid w:val="0"/>
        <w:spacing w:line="560" w:lineRule="exact"/>
        <w:ind w:left="0" w:right="0" w:firstLine="560" w:firstLineChars="200"/>
        <w:jc w:val="both"/>
        <w:textAlignment w:val="auto"/>
        <w:outlineLvl w:val="9"/>
        <w:rPr>
          <w:rFonts w:ascii="仿宋_GB2312" w:hAnsi="宋体" w:eastAsia="仿宋_GB2312"/>
          <w:sz w:val="28"/>
          <w:szCs w:val="28"/>
        </w:rPr>
      </w:pPr>
      <w:r>
        <w:rPr>
          <w:rFonts w:hint="eastAsia" w:ascii="仿宋_GB2312" w:hAnsi="宋体" w:eastAsia="仿宋_GB2312"/>
          <w:sz w:val="28"/>
          <w:szCs w:val="28"/>
        </w:rPr>
        <w:t>竞赛总时长为6个小时，各竞赛阶段安排如下：</w:t>
      </w:r>
    </w:p>
    <w:p>
      <w:pPr>
        <w:widowControl w:val="0"/>
        <w:wordWrap/>
        <w:adjustRightInd w:val="0"/>
        <w:snapToGrid w:val="0"/>
        <w:spacing w:line="560" w:lineRule="exact"/>
        <w:ind w:left="560" w:right="0"/>
        <w:jc w:val="both"/>
        <w:textAlignment w:val="auto"/>
        <w:outlineLvl w:val="9"/>
        <w:rPr>
          <w:rFonts w:ascii="仿宋_GB2312" w:hAnsi="宋体" w:eastAsia="仿宋_GB2312"/>
          <w:sz w:val="28"/>
          <w:szCs w:val="28"/>
        </w:rPr>
      </w:pPr>
    </w:p>
    <w:tbl>
      <w:tblPr>
        <w:tblStyle w:val="9"/>
        <w:tblW w:w="82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159"/>
        <w:gridCol w:w="1389"/>
        <w:gridCol w:w="1701"/>
        <w:gridCol w:w="4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1159" w:type="dxa"/>
            <w:tcBorders>
              <w:top w:val="single" w:color="auto" w:sz="4" w:space="0"/>
              <w:left w:val="single" w:color="auto" w:sz="4" w:space="0"/>
              <w:bottom w:val="single" w:color="auto" w:sz="4" w:space="0"/>
              <w:right w:val="single" w:color="auto" w:sz="4" w:space="0"/>
            </w:tcBorders>
            <w:vAlign w:val="bottom"/>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序号</w:t>
            </w:r>
          </w:p>
        </w:tc>
        <w:tc>
          <w:tcPr>
            <w:tcW w:w="1389" w:type="dxa"/>
            <w:tcBorders>
              <w:top w:val="single" w:color="auto" w:sz="4" w:space="0"/>
              <w:left w:val="nil"/>
              <w:bottom w:val="single" w:color="auto" w:sz="4" w:space="0"/>
              <w:right w:val="single" w:color="auto" w:sz="4" w:space="0"/>
            </w:tcBorders>
            <w:vAlign w:val="bottom"/>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内容模块</w:t>
            </w:r>
          </w:p>
        </w:tc>
        <w:tc>
          <w:tcPr>
            <w:tcW w:w="1701" w:type="dxa"/>
            <w:tcBorders>
              <w:top w:val="single" w:color="auto" w:sz="4" w:space="0"/>
              <w:left w:val="nil"/>
              <w:bottom w:val="single" w:color="auto" w:sz="4" w:space="0"/>
              <w:right w:val="single" w:color="auto" w:sz="4" w:space="0"/>
            </w:tcBorders>
            <w:vAlign w:val="bottom"/>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具体内容</w:t>
            </w:r>
          </w:p>
        </w:tc>
        <w:tc>
          <w:tcPr>
            <w:tcW w:w="4047" w:type="dxa"/>
            <w:tcBorders>
              <w:top w:val="single" w:color="auto" w:sz="4" w:space="0"/>
              <w:left w:val="nil"/>
              <w:bottom w:val="single" w:color="auto" w:sz="4" w:space="0"/>
              <w:right w:val="single" w:color="auto" w:sz="4" w:space="0"/>
            </w:tcBorders>
            <w:vAlign w:val="bottom"/>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5" w:hRule="atLeast"/>
        </w:trPr>
        <w:tc>
          <w:tcPr>
            <w:tcW w:w="1159" w:type="dxa"/>
            <w:vMerge w:val="restart"/>
            <w:tcBorders>
              <w:top w:val="single" w:color="auto" w:sz="4" w:space="0"/>
              <w:left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kern w:val="0"/>
                <w:sz w:val="24"/>
                <w:szCs w:val="24"/>
              </w:rPr>
            </w:pPr>
            <w:r>
              <w:rPr>
                <w:rFonts w:hint="eastAsia" w:ascii="仿宋_GB2312" w:hAnsi="仿宋" w:eastAsia="仿宋_GB2312"/>
                <w:kern w:val="0"/>
                <w:sz w:val="24"/>
                <w:szCs w:val="24"/>
              </w:rPr>
              <w:t>第一阶段</w:t>
            </w:r>
          </w:p>
        </w:tc>
        <w:tc>
          <w:tcPr>
            <w:tcW w:w="1389" w:type="dxa"/>
            <w:vMerge w:val="restart"/>
            <w:tcBorders>
              <w:top w:val="nil"/>
              <w:left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网络平台搭建</w:t>
            </w:r>
          </w:p>
        </w:tc>
        <w:tc>
          <w:tcPr>
            <w:tcW w:w="1701"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left"/>
              <w:textAlignment w:val="auto"/>
              <w:outlineLvl w:val="9"/>
              <w:rPr>
                <w:rFonts w:ascii="仿宋_GB2312" w:hAnsi="仿宋" w:eastAsia="仿宋_GB2312"/>
                <w:kern w:val="0"/>
                <w:sz w:val="24"/>
                <w:szCs w:val="24"/>
              </w:rPr>
            </w:pPr>
            <w:r>
              <w:rPr>
                <w:rFonts w:hint="eastAsia" w:ascii="仿宋_GB2312" w:hAnsi="仿宋" w:eastAsia="仿宋_GB2312"/>
                <w:kern w:val="0"/>
                <w:sz w:val="24"/>
                <w:szCs w:val="24"/>
              </w:rPr>
              <w:t>网络规划技术</w:t>
            </w:r>
          </w:p>
        </w:tc>
        <w:tc>
          <w:tcPr>
            <w:tcW w:w="4047"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left"/>
              <w:textAlignment w:val="auto"/>
              <w:outlineLvl w:val="9"/>
              <w:rPr>
                <w:rFonts w:ascii="仿宋_GB2312" w:hAnsi="仿宋" w:eastAsia="仿宋_GB2312"/>
                <w:kern w:val="0"/>
                <w:sz w:val="24"/>
                <w:szCs w:val="24"/>
              </w:rPr>
            </w:pPr>
            <w:r>
              <w:rPr>
                <w:rFonts w:hint="eastAsia" w:ascii="仿宋_GB2312" w:hAnsi="仿宋" w:eastAsia="仿宋_GB2312"/>
                <w:kern w:val="0"/>
                <w:sz w:val="24"/>
                <w:szCs w:val="24"/>
              </w:rPr>
              <w:t>VLSM、子网划分；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159" w:type="dxa"/>
            <w:vMerge w:val="continue"/>
            <w:tcBorders>
              <w:left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kern w:val="0"/>
                <w:sz w:val="24"/>
                <w:szCs w:val="24"/>
              </w:rPr>
            </w:pPr>
          </w:p>
        </w:tc>
        <w:tc>
          <w:tcPr>
            <w:tcW w:w="1389" w:type="dxa"/>
            <w:vMerge w:val="continue"/>
            <w:tcBorders>
              <w:left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left"/>
              <w:textAlignment w:val="auto"/>
              <w:outlineLvl w:val="9"/>
              <w:rPr>
                <w:rFonts w:ascii="仿宋_GB2312" w:hAnsi="仿宋" w:eastAsia="仿宋_GB2312" w:cs="宋体"/>
                <w:kern w:val="0"/>
                <w:sz w:val="24"/>
                <w:szCs w:val="24"/>
              </w:rPr>
            </w:pPr>
          </w:p>
        </w:tc>
        <w:tc>
          <w:tcPr>
            <w:tcW w:w="1701"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网络交换技术</w:t>
            </w:r>
          </w:p>
        </w:tc>
        <w:tc>
          <w:tcPr>
            <w:tcW w:w="4047"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left"/>
              <w:textAlignment w:val="auto"/>
              <w:outlineLvl w:val="9"/>
              <w:rPr>
                <w:rFonts w:ascii="仿宋_GB2312" w:hAnsi="仿宋" w:eastAsia="仿宋_GB2312"/>
                <w:kern w:val="0"/>
                <w:sz w:val="24"/>
                <w:szCs w:val="24"/>
              </w:rPr>
            </w:pPr>
            <w:r>
              <w:rPr>
                <w:rFonts w:hint="eastAsia" w:ascii="仿宋_GB2312" w:hAnsi="仿宋" w:eastAsia="仿宋_GB2312"/>
                <w:kern w:val="0"/>
                <w:sz w:val="24"/>
                <w:szCs w:val="24"/>
              </w:rPr>
              <w:t>VLAN、STP、RSTP、MSTP、802.1X、端口安全、端口聚合等；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50" w:hRule="atLeast"/>
        </w:trPr>
        <w:tc>
          <w:tcPr>
            <w:tcW w:w="1159" w:type="dxa"/>
            <w:vMerge w:val="continue"/>
            <w:tcBorders>
              <w:left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kern w:val="0"/>
                <w:sz w:val="24"/>
                <w:szCs w:val="24"/>
              </w:rPr>
            </w:pPr>
          </w:p>
        </w:tc>
        <w:tc>
          <w:tcPr>
            <w:tcW w:w="1389" w:type="dxa"/>
            <w:vMerge w:val="restart"/>
            <w:tcBorders>
              <w:top w:val="single" w:color="auto" w:sz="4" w:space="0"/>
              <w:left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网络安全设备配置与防护</w:t>
            </w:r>
          </w:p>
        </w:tc>
        <w:tc>
          <w:tcPr>
            <w:tcW w:w="1701"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防火墙技术</w:t>
            </w:r>
          </w:p>
        </w:tc>
        <w:tc>
          <w:tcPr>
            <w:tcW w:w="4047"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能够在城域网中部署防火墙，使用防火墙规则保护内网服务安全，在防火墙上实现路由、</w:t>
            </w:r>
            <w:r>
              <w:rPr>
                <w:rFonts w:hint="eastAsia" w:ascii="仿宋_GB2312" w:hAnsi="仿宋" w:eastAsia="仿宋_GB2312"/>
                <w:kern w:val="0"/>
                <w:sz w:val="24"/>
                <w:szCs w:val="24"/>
              </w:rPr>
              <w:t>NAT</w:t>
            </w:r>
            <w:r>
              <w:rPr>
                <w:rFonts w:hint="eastAsia" w:ascii="仿宋_GB2312" w:hAnsi="仿宋" w:eastAsia="仿宋_GB2312" w:cs="宋体"/>
                <w:kern w:val="0"/>
                <w:sz w:val="24"/>
                <w:szCs w:val="24"/>
              </w:rPr>
              <w:t>转换、防</w:t>
            </w:r>
            <w:r>
              <w:rPr>
                <w:rFonts w:hint="eastAsia" w:ascii="仿宋_GB2312" w:hAnsi="仿宋" w:eastAsia="仿宋_GB2312"/>
                <w:kern w:val="0"/>
                <w:sz w:val="24"/>
                <w:szCs w:val="24"/>
              </w:rPr>
              <w:t>DDos</w:t>
            </w:r>
            <w:r>
              <w:rPr>
                <w:rFonts w:hint="eastAsia" w:ascii="仿宋_GB2312" w:hAnsi="仿宋" w:eastAsia="仿宋_GB2312" w:cs="宋体"/>
                <w:kern w:val="0"/>
                <w:sz w:val="24"/>
                <w:szCs w:val="24"/>
              </w:rPr>
              <w:t>攻击、实现包过滤、</w:t>
            </w:r>
            <w:r>
              <w:rPr>
                <w:rFonts w:hint="eastAsia" w:ascii="仿宋_GB2312" w:hAnsi="仿宋" w:eastAsia="仿宋_GB2312"/>
                <w:kern w:val="0"/>
                <w:sz w:val="24"/>
                <w:szCs w:val="24"/>
              </w:rPr>
              <w:t>URL</w:t>
            </w:r>
            <w:r>
              <w:rPr>
                <w:rFonts w:hint="eastAsia" w:ascii="仿宋_GB2312" w:hAnsi="仿宋" w:eastAsia="仿宋_GB2312" w:cs="宋体"/>
                <w:kern w:val="0"/>
                <w:sz w:val="24"/>
                <w:szCs w:val="24"/>
              </w:rPr>
              <w:t>过滤、</w:t>
            </w:r>
            <w:r>
              <w:rPr>
                <w:rFonts w:hint="eastAsia" w:ascii="仿宋_GB2312" w:hAnsi="仿宋" w:eastAsia="仿宋_GB2312"/>
                <w:kern w:val="0"/>
                <w:sz w:val="24"/>
                <w:szCs w:val="24"/>
              </w:rPr>
              <w:t>P2P</w:t>
            </w:r>
            <w:r>
              <w:rPr>
                <w:rFonts w:hint="eastAsia" w:ascii="仿宋_GB2312" w:hAnsi="仿宋" w:eastAsia="仿宋_GB2312" w:cs="宋体"/>
                <w:kern w:val="0"/>
                <w:sz w:val="24"/>
                <w:szCs w:val="24"/>
              </w:rPr>
              <w:t>流量控制等；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159" w:type="dxa"/>
            <w:vMerge w:val="continue"/>
            <w:tcBorders>
              <w:left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kern w:val="0"/>
                <w:sz w:val="24"/>
                <w:szCs w:val="24"/>
              </w:rPr>
            </w:pPr>
          </w:p>
        </w:tc>
        <w:tc>
          <w:tcPr>
            <w:tcW w:w="1389" w:type="dxa"/>
            <w:vMerge w:val="continue"/>
            <w:tcBorders>
              <w:left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left"/>
              <w:textAlignment w:val="auto"/>
              <w:outlineLvl w:val="9"/>
              <w:rPr>
                <w:rFonts w:ascii="仿宋_GB2312" w:hAnsi="仿宋" w:eastAsia="仿宋_GB2312" w:cs="宋体"/>
                <w:kern w:val="0"/>
                <w:sz w:val="24"/>
                <w:szCs w:val="24"/>
              </w:rPr>
            </w:pPr>
          </w:p>
        </w:tc>
        <w:tc>
          <w:tcPr>
            <w:tcW w:w="1701"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left"/>
              <w:textAlignment w:val="auto"/>
              <w:outlineLvl w:val="9"/>
              <w:rPr>
                <w:rFonts w:ascii="仿宋_GB2312" w:hAnsi="仿宋" w:eastAsia="仿宋_GB2312"/>
                <w:kern w:val="0"/>
                <w:sz w:val="24"/>
                <w:szCs w:val="24"/>
              </w:rPr>
            </w:pPr>
            <w:r>
              <w:rPr>
                <w:rFonts w:hint="eastAsia" w:ascii="仿宋_GB2312" w:hAnsi="仿宋" w:eastAsia="仿宋_GB2312"/>
                <w:kern w:val="0"/>
                <w:sz w:val="24"/>
                <w:szCs w:val="24"/>
              </w:rPr>
              <w:t>VPN技术</w:t>
            </w:r>
          </w:p>
        </w:tc>
        <w:tc>
          <w:tcPr>
            <w:tcW w:w="4047"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left"/>
              <w:textAlignment w:val="auto"/>
              <w:outlineLvl w:val="9"/>
              <w:rPr>
                <w:rFonts w:ascii="仿宋_GB2312" w:hAnsi="仿宋" w:eastAsia="仿宋_GB2312"/>
                <w:kern w:val="0"/>
                <w:sz w:val="24"/>
                <w:szCs w:val="24"/>
              </w:rPr>
            </w:pPr>
            <w:r>
              <w:rPr>
                <w:rFonts w:hint="eastAsia" w:ascii="仿宋_GB2312" w:hAnsi="仿宋" w:eastAsia="仿宋_GB2312"/>
                <w:kern w:val="0"/>
                <w:sz w:val="24"/>
                <w:szCs w:val="24"/>
              </w:rPr>
              <w:t>VPN实现远程安全接入和站点到站点的IPSec VPN或SSL VPN；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159" w:type="dxa"/>
            <w:vMerge w:val="continue"/>
            <w:tcBorders>
              <w:left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kern w:val="0"/>
                <w:sz w:val="24"/>
                <w:szCs w:val="24"/>
              </w:rPr>
            </w:pPr>
          </w:p>
        </w:tc>
        <w:tc>
          <w:tcPr>
            <w:tcW w:w="1389" w:type="dxa"/>
            <w:vMerge w:val="continue"/>
            <w:tcBorders>
              <w:left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left"/>
              <w:textAlignment w:val="auto"/>
              <w:outlineLvl w:val="9"/>
              <w:rPr>
                <w:rFonts w:ascii="仿宋_GB2312" w:hAnsi="仿宋" w:eastAsia="仿宋_GB2312" w:cs="宋体"/>
                <w:kern w:val="0"/>
                <w:sz w:val="24"/>
                <w:szCs w:val="24"/>
              </w:rPr>
            </w:pPr>
          </w:p>
        </w:tc>
        <w:tc>
          <w:tcPr>
            <w:tcW w:w="1701"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left"/>
              <w:textAlignment w:val="auto"/>
              <w:outlineLvl w:val="9"/>
              <w:rPr>
                <w:rFonts w:ascii="仿宋_GB2312" w:hAnsi="仿宋" w:eastAsia="仿宋_GB2312"/>
                <w:kern w:val="0"/>
                <w:sz w:val="24"/>
                <w:szCs w:val="24"/>
              </w:rPr>
            </w:pPr>
            <w:r>
              <w:rPr>
                <w:rFonts w:hint="eastAsia" w:ascii="仿宋_GB2312" w:hAnsi="仿宋" w:eastAsia="仿宋_GB2312"/>
                <w:kern w:val="0"/>
                <w:sz w:val="24"/>
                <w:szCs w:val="24"/>
              </w:rPr>
              <w:t>流量整形技术</w:t>
            </w:r>
          </w:p>
        </w:tc>
        <w:tc>
          <w:tcPr>
            <w:tcW w:w="4047"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left"/>
              <w:textAlignment w:val="auto"/>
              <w:outlineLvl w:val="9"/>
              <w:rPr>
                <w:rFonts w:ascii="仿宋_GB2312" w:hAnsi="仿宋" w:eastAsia="仿宋_GB2312"/>
                <w:kern w:val="0"/>
                <w:sz w:val="24"/>
                <w:szCs w:val="24"/>
              </w:rPr>
            </w:pPr>
            <w:r>
              <w:rPr>
                <w:rFonts w:hint="eastAsia" w:ascii="仿宋_GB2312" w:hAnsi="仿宋" w:eastAsia="仿宋_GB2312"/>
                <w:kern w:val="0"/>
                <w:sz w:val="24"/>
                <w:szCs w:val="24"/>
              </w:rPr>
              <w:t>基于IP、协议、应用、用户角色、自定义数据流和时间等方式的带宽控制，QOS策略等。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159" w:type="dxa"/>
            <w:vMerge w:val="continue"/>
            <w:tcBorders>
              <w:left w:val="single" w:color="auto" w:sz="4" w:space="0"/>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kern w:val="0"/>
                <w:sz w:val="24"/>
                <w:szCs w:val="24"/>
              </w:rPr>
            </w:pPr>
          </w:p>
        </w:tc>
        <w:tc>
          <w:tcPr>
            <w:tcW w:w="1389" w:type="dxa"/>
            <w:vMerge w:val="continue"/>
            <w:tcBorders>
              <w:left w:val="single" w:color="auto" w:sz="4" w:space="0"/>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left"/>
              <w:textAlignment w:val="auto"/>
              <w:outlineLvl w:val="9"/>
              <w:rPr>
                <w:rFonts w:ascii="仿宋_GB2312" w:hAnsi="仿宋" w:eastAsia="仿宋_GB2312" w:cs="宋体"/>
                <w:kern w:val="0"/>
                <w:sz w:val="24"/>
                <w:szCs w:val="24"/>
              </w:rPr>
            </w:pPr>
          </w:p>
        </w:tc>
        <w:tc>
          <w:tcPr>
            <w:tcW w:w="1701"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left"/>
              <w:textAlignment w:val="auto"/>
              <w:outlineLvl w:val="9"/>
              <w:rPr>
                <w:rFonts w:ascii="仿宋_GB2312" w:hAnsi="仿宋" w:eastAsia="仿宋_GB2312"/>
                <w:kern w:val="0"/>
                <w:sz w:val="24"/>
                <w:szCs w:val="24"/>
              </w:rPr>
            </w:pPr>
            <w:r>
              <w:rPr>
                <w:rFonts w:hint="eastAsia" w:ascii="仿宋_GB2312" w:hAnsi="仿宋" w:eastAsia="仿宋_GB2312"/>
                <w:kern w:val="0"/>
                <w:sz w:val="24"/>
                <w:szCs w:val="24"/>
              </w:rPr>
              <w:t>日志分析技术</w:t>
            </w:r>
          </w:p>
        </w:tc>
        <w:tc>
          <w:tcPr>
            <w:tcW w:w="4047"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left"/>
              <w:textAlignment w:val="auto"/>
              <w:outlineLvl w:val="9"/>
              <w:rPr>
                <w:rFonts w:ascii="仿宋_GB2312" w:hAnsi="仿宋" w:eastAsia="仿宋_GB2312"/>
                <w:kern w:val="0"/>
                <w:sz w:val="24"/>
                <w:szCs w:val="24"/>
              </w:rPr>
            </w:pPr>
            <w:r>
              <w:rPr>
                <w:rFonts w:hint="eastAsia" w:ascii="仿宋_GB2312" w:hAnsi="仿宋" w:eastAsia="仿宋_GB2312"/>
                <w:kern w:val="0"/>
                <w:sz w:val="24"/>
                <w:szCs w:val="24"/>
              </w:rPr>
              <w:t>能够利用日志系统对网络内的数据进行日志分析，把控网络安全。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159" w:type="dxa"/>
            <w:vMerge w:val="restart"/>
            <w:tcBorders>
              <w:top w:val="single" w:color="auto" w:sz="4" w:space="0"/>
              <w:left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kern w:val="0"/>
                <w:sz w:val="24"/>
                <w:szCs w:val="24"/>
              </w:rPr>
            </w:pPr>
            <w:r>
              <w:rPr>
                <w:rFonts w:hint="eastAsia" w:ascii="仿宋_GB2312" w:hAnsi="仿宋" w:eastAsia="仿宋_GB2312"/>
                <w:kern w:val="0"/>
                <w:sz w:val="24"/>
                <w:szCs w:val="24"/>
              </w:rPr>
              <w:t>第二阶段</w:t>
            </w:r>
          </w:p>
        </w:tc>
        <w:tc>
          <w:tcPr>
            <w:tcW w:w="1389" w:type="dxa"/>
            <w:vMerge w:val="restart"/>
            <w:tcBorders>
              <w:top w:val="single" w:color="auto" w:sz="4" w:space="0"/>
              <w:left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系统安全攻防及运维安全管控</w:t>
            </w:r>
          </w:p>
        </w:tc>
        <w:tc>
          <w:tcPr>
            <w:tcW w:w="1701"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left"/>
              <w:textAlignment w:val="auto"/>
              <w:outlineLvl w:val="9"/>
              <w:rPr>
                <w:rFonts w:ascii="仿宋_GB2312" w:hAnsi="仿宋" w:eastAsia="仿宋_GB2312"/>
                <w:kern w:val="0"/>
                <w:sz w:val="24"/>
                <w:szCs w:val="24"/>
              </w:rPr>
            </w:pPr>
            <w:r>
              <w:rPr>
                <w:rFonts w:hint="eastAsia" w:ascii="仿宋_GB2312" w:hAnsi="仿宋" w:eastAsia="仿宋_GB2312"/>
                <w:kern w:val="0"/>
                <w:sz w:val="24"/>
                <w:szCs w:val="24"/>
              </w:rPr>
              <w:t>网站防护技术</w:t>
            </w:r>
          </w:p>
        </w:tc>
        <w:tc>
          <w:tcPr>
            <w:tcW w:w="4047"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left"/>
              <w:textAlignment w:val="auto"/>
              <w:outlineLvl w:val="9"/>
              <w:rPr>
                <w:rFonts w:ascii="仿宋_GB2312" w:hAnsi="仿宋" w:eastAsia="仿宋_GB2312"/>
                <w:kern w:val="0"/>
                <w:sz w:val="24"/>
                <w:szCs w:val="24"/>
              </w:rPr>
            </w:pPr>
            <w:r>
              <w:rPr>
                <w:rFonts w:hint="eastAsia" w:ascii="仿宋_GB2312" w:hAnsi="仿宋" w:eastAsia="仿宋_GB2312"/>
                <w:kern w:val="0"/>
                <w:sz w:val="24"/>
                <w:szCs w:val="24"/>
              </w:rPr>
              <w:t>HTTP防护、会话跟踪、</w:t>
            </w:r>
            <w:bookmarkStart w:id="0" w:name="_Toc330457543"/>
            <w:r>
              <w:rPr>
                <w:rFonts w:hint="eastAsia" w:ascii="仿宋_GB2312" w:hAnsi="仿宋" w:eastAsia="仿宋_GB2312"/>
                <w:kern w:val="0"/>
                <w:sz w:val="24"/>
                <w:szCs w:val="24"/>
              </w:rPr>
              <w:t>数据窃取防护</w:t>
            </w:r>
            <w:bookmarkEnd w:id="0"/>
            <w:r>
              <w:rPr>
                <w:rFonts w:hint="eastAsia" w:ascii="仿宋_GB2312" w:hAnsi="仿宋" w:eastAsia="仿宋_GB2312"/>
                <w:kern w:val="0"/>
                <w:sz w:val="24"/>
                <w:szCs w:val="24"/>
              </w:rPr>
              <w:t>、漏洞扫描、防篡改等技术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1159" w:type="dxa"/>
            <w:vMerge w:val="continue"/>
            <w:tcBorders>
              <w:left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kern w:val="0"/>
                <w:sz w:val="24"/>
                <w:szCs w:val="24"/>
              </w:rPr>
            </w:pPr>
          </w:p>
        </w:tc>
        <w:tc>
          <w:tcPr>
            <w:tcW w:w="1389" w:type="dxa"/>
            <w:vMerge w:val="continue"/>
            <w:tcBorders>
              <w:left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kern w:val="0"/>
                <w:sz w:val="24"/>
                <w:szCs w:val="24"/>
              </w:rPr>
            </w:pPr>
          </w:p>
        </w:tc>
        <w:tc>
          <w:tcPr>
            <w:tcW w:w="1701"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服务器渗透技术</w:t>
            </w:r>
          </w:p>
        </w:tc>
        <w:tc>
          <w:tcPr>
            <w:tcW w:w="4047"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针对未设置防护的数据库和服务器进行扫描、密码猜测等渗透测试。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9" w:hRule="atLeast"/>
        </w:trPr>
        <w:tc>
          <w:tcPr>
            <w:tcW w:w="1159" w:type="dxa"/>
            <w:vMerge w:val="continue"/>
            <w:tcBorders>
              <w:left w:val="single" w:color="auto" w:sz="4" w:space="0"/>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kern w:val="0"/>
                <w:sz w:val="24"/>
                <w:szCs w:val="24"/>
              </w:rPr>
            </w:pPr>
          </w:p>
        </w:tc>
        <w:tc>
          <w:tcPr>
            <w:tcW w:w="1389" w:type="dxa"/>
            <w:vMerge w:val="continue"/>
            <w:tcBorders>
              <w:left w:val="single" w:color="auto" w:sz="4" w:space="0"/>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kern w:val="0"/>
                <w:sz w:val="24"/>
                <w:szCs w:val="24"/>
              </w:rPr>
            </w:pPr>
          </w:p>
        </w:tc>
        <w:tc>
          <w:tcPr>
            <w:tcW w:w="1701"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服务器加固技术</w:t>
            </w:r>
          </w:p>
        </w:tc>
        <w:tc>
          <w:tcPr>
            <w:tcW w:w="4047"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强制访问控制、数据保护、行为审计等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1159"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kern w:val="0"/>
                <w:sz w:val="24"/>
                <w:szCs w:val="24"/>
              </w:rPr>
            </w:pPr>
            <w:r>
              <w:rPr>
                <w:rFonts w:hint="eastAsia" w:ascii="仿宋_GB2312" w:hAnsi="仿宋" w:eastAsia="仿宋_GB2312"/>
                <w:kern w:val="0"/>
                <w:sz w:val="24"/>
                <w:szCs w:val="24"/>
              </w:rPr>
              <w:t>第三阶段</w:t>
            </w:r>
          </w:p>
        </w:tc>
        <w:tc>
          <w:tcPr>
            <w:tcW w:w="1389" w:type="dxa"/>
            <w:tcBorders>
              <w:top w:val="single" w:color="auto" w:sz="4" w:space="0"/>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分组对抗</w:t>
            </w:r>
          </w:p>
        </w:tc>
        <w:tc>
          <w:tcPr>
            <w:tcW w:w="1701" w:type="dxa"/>
            <w:tcBorders>
              <w:top w:val="single" w:color="auto" w:sz="4" w:space="0"/>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left"/>
              <w:textAlignment w:val="auto"/>
              <w:outlineLvl w:val="9"/>
              <w:rPr>
                <w:rFonts w:ascii="仿宋_GB2312" w:hAnsi="仿宋" w:eastAsia="仿宋_GB2312"/>
                <w:sz w:val="24"/>
                <w:szCs w:val="24"/>
              </w:rPr>
            </w:pPr>
            <w:r>
              <w:rPr>
                <w:rFonts w:hint="eastAsia" w:ascii="仿宋_GB2312" w:hAnsi="仿宋" w:eastAsia="仿宋_GB2312"/>
                <w:sz w:val="24"/>
                <w:szCs w:val="24"/>
              </w:rPr>
              <w:t>参赛队之间进行对抗演练</w:t>
            </w:r>
          </w:p>
        </w:tc>
        <w:tc>
          <w:tcPr>
            <w:tcW w:w="4047" w:type="dxa"/>
            <w:tcBorders>
              <w:top w:val="single" w:color="auto" w:sz="4" w:space="0"/>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密码学基础、认证与授权基础、Windows/Linux服务器系统与安全、网络服务安全、Web应用安全、数据库安全、扫描探测、溢出攻击、破解验证技术、安全加固、病毒及恶意代码分析及清除等相关知识。</w:t>
            </w:r>
          </w:p>
        </w:tc>
      </w:tr>
    </w:tbl>
    <w:p>
      <w:pPr>
        <w:widowControl w:val="0"/>
        <w:wordWrap/>
        <w:spacing w:line="560" w:lineRule="exact"/>
        <w:ind w:left="0" w:leftChars="0" w:right="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竞赛分值权重和时间安排</w:t>
      </w:r>
    </w:p>
    <w:tbl>
      <w:tblPr>
        <w:tblStyle w:val="9"/>
        <w:tblW w:w="82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175"/>
        <w:gridCol w:w="4402"/>
        <w:gridCol w:w="1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21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序号</w:t>
            </w:r>
          </w:p>
        </w:tc>
        <w:tc>
          <w:tcPr>
            <w:tcW w:w="4402" w:type="dxa"/>
            <w:tcBorders>
              <w:top w:val="single" w:color="auto" w:sz="4" w:space="0"/>
              <w:left w:val="nil"/>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内容模块</w:t>
            </w:r>
          </w:p>
        </w:tc>
        <w:tc>
          <w:tcPr>
            <w:tcW w:w="1719" w:type="dxa"/>
            <w:tcBorders>
              <w:top w:val="single" w:color="auto" w:sz="4" w:space="0"/>
              <w:left w:val="nil"/>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竞赛时间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2175" w:type="dxa"/>
            <w:vMerge w:val="restart"/>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第一阶段</w:t>
            </w:r>
          </w:p>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权重30%</w:t>
            </w:r>
          </w:p>
        </w:tc>
        <w:tc>
          <w:tcPr>
            <w:tcW w:w="440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网络平台搭建</w:t>
            </w:r>
          </w:p>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权重9%</w:t>
            </w:r>
          </w:p>
        </w:tc>
        <w:tc>
          <w:tcPr>
            <w:tcW w:w="1719" w:type="dxa"/>
            <w:vMerge w:val="restart"/>
            <w:tcBorders>
              <w:top w:val="nil"/>
              <w:left w:val="nil"/>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ascii="仿宋_GB2312" w:eastAsia="仿宋_GB2312" w:cs="Calibri"/>
                <w:kern w:val="0"/>
                <w:sz w:val="24"/>
                <w:szCs w:val="24"/>
              </w:rPr>
            </w:pPr>
            <w:r>
              <w:rPr>
                <w:rFonts w:hint="eastAsia" w:ascii="仿宋_GB2312" w:eastAsia="仿宋_GB2312" w:cs="Calibri"/>
                <w:kern w:val="0"/>
                <w:sz w:val="24"/>
                <w:szCs w:val="24"/>
              </w:rPr>
              <w:t>300分钟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2175"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p>
        </w:tc>
        <w:tc>
          <w:tcPr>
            <w:tcW w:w="440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网络安全设备配置与防护</w:t>
            </w:r>
          </w:p>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权重21%</w:t>
            </w:r>
          </w:p>
        </w:tc>
        <w:tc>
          <w:tcPr>
            <w:tcW w:w="1719" w:type="dxa"/>
            <w:vMerge w:val="continue"/>
            <w:tcBorders>
              <w:left w:val="nil"/>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ascii="仿宋_GB2312" w:eastAsia="仿宋_GB2312" w:cs="Calibri"/>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2175" w:type="dxa"/>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第二阶段</w:t>
            </w:r>
          </w:p>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权重30%</w:t>
            </w:r>
          </w:p>
        </w:tc>
        <w:tc>
          <w:tcPr>
            <w:tcW w:w="440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系统安全攻防及运维安全管控</w:t>
            </w:r>
          </w:p>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权重30%</w:t>
            </w:r>
          </w:p>
        </w:tc>
        <w:tc>
          <w:tcPr>
            <w:tcW w:w="1719" w:type="dxa"/>
            <w:vMerge w:val="continue"/>
            <w:tcBorders>
              <w:left w:val="nil"/>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ascii="仿宋_GB2312" w:eastAsia="仿宋_GB2312" w:cs="Calibri"/>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2175" w:type="dxa"/>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第三阶段</w:t>
            </w:r>
          </w:p>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权重40%</w:t>
            </w:r>
          </w:p>
        </w:tc>
        <w:tc>
          <w:tcPr>
            <w:tcW w:w="440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分组对抗</w:t>
            </w:r>
          </w:p>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权重40%</w:t>
            </w:r>
          </w:p>
        </w:tc>
        <w:tc>
          <w:tcPr>
            <w:tcW w:w="1719"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ascii="仿宋_GB2312" w:eastAsia="仿宋_GB2312" w:cs="Calibri"/>
                <w:kern w:val="0"/>
                <w:sz w:val="24"/>
                <w:szCs w:val="24"/>
              </w:rPr>
            </w:pPr>
            <w:r>
              <w:rPr>
                <w:rFonts w:hint="eastAsia" w:ascii="仿宋_GB2312" w:eastAsia="仿宋_GB2312" w:cs="Calibri"/>
                <w:kern w:val="0"/>
                <w:sz w:val="24"/>
                <w:szCs w:val="24"/>
              </w:rPr>
              <w:t>60分钟</w:t>
            </w:r>
          </w:p>
        </w:tc>
      </w:tr>
    </w:tbl>
    <w:p>
      <w:pPr>
        <w:widowControl w:val="0"/>
        <w:wordWrap/>
        <w:spacing w:line="560" w:lineRule="exact"/>
        <w:ind w:left="0" w:leftChars="0" w:right="0"/>
        <w:jc w:val="both"/>
        <w:textAlignment w:val="auto"/>
        <w:outlineLvl w:val="9"/>
        <w:rPr>
          <w:rFonts w:ascii="仿宋_GB2312" w:hAnsi="黑体" w:eastAsia="仿宋_GB2312"/>
          <w:b/>
          <w:sz w:val="28"/>
          <w:szCs w:val="28"/>
        </w:rPr>
      </w:pPr>
      <w:r>
        <w:rPr>
          <w:rFonts w:hint="eastAsia" w:ascii="仿宋_GB2312" w:hAnsi="黑体" w:eastAsia="仿宋_GB2312"/>
          <w:b/>
          <w:sz w:val="28"/>
          <w:szCs w:val="28"/>
        </w:rPr>
        <w:t>四、竞赛方式</w:t>
      </w:r>
    </w:p>
    <w:p>
      <w:pPr>
        <w:widowControl w:val="0"/>
        <w:wordWrap/>
        <w:spacing w:line="560" w:lineRule="exact"/>
        <w:ind w:left="0" w:leftChars="0" w:right="0" w:firstLine="560" w:firstLineChars="200"/>
        <w:jc w:val="both"/>
        <w:textAlignment w:val="auto"/>
        <w:outlineLvl w:val="9"/>
        <w:rPr>
          <w:rFonts w:ascii="仿宋_GB2312" w:hAnsi="宋体" w:eastAsia="仿宋_GB2312"/>
          <w:sz w:val="28"/>
          <w:szCs w:val="28"/>
        </w:rPr>
      </w:pPr>
      <w:r>
        <w:rPr>
          <w:rFonts w:hint="eastAsia" w:ascii="仿宋_GB2312" w:hAnsi="宋体" w:eastAsia="仿宋_GB2312"/>
          <w:sz w:val="28"/>
          <w:szCs w:val="28"/>
        </w:rPr>
        <w:t>本赛项为团体赛，以院校为单位组队参赛，不得跨校组队，同一学校相同项目报名参赛队不超过1支。每支参赛队由3名选手（设队长1名）和不超过2名指导教师组成。</w:t>
      </w:r>
    </w:p>
    <w:p>
      <w:pPr>
        <w:widowControl w:val="0"/>
        <w:wordWrap/>
        <w:spacing w:line="560" w:lineRule="exact"/>
        <w:ind w:left="0" w:leftChars="0" w:right="0" w:firstLine="560" w:firstLineChars="200"/>
        <w:jc w:val="both"/>
        <w:textAlignment w:val="auto"/>
        <w:outlineLvl w:val="9"/>
        <w:rPr>
          <w:rFonts w:ascii="仿宋_GB2312" w:hAnsi="宋体" w:eastAsia="仿宋_GB2312"/>
          <w:sz w:val="28"/>
          <w:szCs w:val="28"/>
        </w:rPr>
      </w:pPr>
      <w:r>
        <w:rPr>
          <w:rFonts w:hint="eastAsia" w:ascii="仿宋_GB2312" w:hAnsi="宋体" w:eastAsia="仿宋_GB2312"/>
          <w:sz w:val="28"/>
          <w:szCs w:val="28"/>
        </w:rPr>
        <w:t>参赛选手须为高等职业学院全日制在籍学生，本科院校中高职类全日制在籍学生也可报名参加比赛。参赛选手年龄不超过25周岁（即1990年7月1日及以后出生），性别不限。</w:t>
      </w:r>
    </w:p>
    <w:p>
      <w:pPr>
        <w:widowControl w:val="0"/>
        <w:wordWrap/>
        <w:spacing w:line="560" w:lineRule="exact"/>
        <w:ind w:left="0" w:leftChars="0" w:right="0" w:firstLine="560" w:firstLineChars="200"/>
        <w:jc w:val="both"/>
        <w:textAlignment w:val="auto"/>
        <w:outlineLvl w:val="9"/>
        <w:rPr>
          <w:rFonts w:ascii="仿宋_GB2312" w:hAnsi="宋体" w:eastAsia="仿宋_GB2312"/>
          <w:sz w:val="28"/>
          <w:szCs w:val="28"/>
        </w:rPr>
      </w:pPr>
      <w:r>
        <w:rPr>
          <w:rFonts w:hint="eastAsia" w:ascii="仿宋_GB2312" w:hAnsi="宋体" w:eastAsia="仿宋_GB2312"/>
          <w:sz w:val="28"/>
          <w:szCs w:val="28"/>
        </w:rPr>
        <w:t>不邀请国际团队参赛，欢迎国际团队到场观赛。</w:t>
      </w:r>
    </w:p>
    <w:p>
      <w:pPr>
        <w:widowControl w:val="0"/>
        <w:wordWrap/>
        <w:spacing w:line="560" w:lineRule="exact"/>
        <w:ind w:left="0" w:leftChars="0" w:right="0"/>
        <w:jc w:val="both"/>
        <w:textAlignment w:val="auto"/>
        <w:outlineLvl w:val="9"/>
        <w:rPr>
          <w:rFonts w:ascii="仿宋_GB2312" w:hAnsi="黑体" w:eastAsia="仿宋_GB2312"/>
          <w:b/>
          <w:sz w:val="28"/>
          <w:szCs w:val="28"/>
        </w:rPr>
      </w:pPr>
      <w:r>
        <w:rPr>
          <w:rFonts w:hint="eastAsia" w:ascii="仿宋_GB2312" w:hAnsi="黑体" w:eastAsia="仿宋_GB2312"/>
          <w:b/>
          <w:sz w:val="28"/>
          <w:szCs w:val="28"/>
          <w:lang w:val="en-US" w:eastAsia="zh-CN"/>
        </w:rPr>
        <w:t xml:space="preserve">    </w:t>
      </w:r>
      <w:r>
        <w:rPr>
          <w:rFonts w:hint="eastAsia" w:ascii="仿宋_GB2312" w:hAnsi="黑体" w:eastAsia="仿宋_GB2312"/>
          <w:b/>
          <w:sz w:val="28"/>
          <w:szCs w:val="28"/>
        </w:rPr>
        <w:t>五、竞赛流程</w:t>
      </w:r>
    </w:p>
    <w:p>
      <w:pPr>
        <w:widowControl w:val="0"/>
        <w:wordWrap/>
        <w:adjustRightInd w:val="0"/>
        <w:snapToGrid w:val="0"/>
        <w:spacing w:line="560" w:lineRule="exact"/>
        <w:ind w:left="0" w:leftChars="0" w:right="0" w:firstLine="560" w:firstLineChars="200"/>
        <w:jc w:val="both"/>
        <w:textAlignment w:val="auto"/>
        <w:outlineLvl w:val="9"/>
        <w:rPr>
          <w:rFonts w:ascii="仿宋_GB2312" w:hAnsi="宋体" w:eastAsia="仿宋_GB2312"/>
          <w:sz w:val="28"/>
          <w:szCs w:val="28"/>
        </w:rPr>
      </w:pPr>
      <w:r>
        <w:rPr>
          <w:rFonts w:hint="eastAsia" w:ascii="仿宋_GB2312" w:hAnsi="宋体" w:eastAsia="仿宋_GB2312"/>
          <w:sz w:val="28"/>
          <w:szCs w:val="28"/>
        </w:rPr>
        <w:t>（一）竞赛流程图</w:t>
      </w:r>
    </w:p>
    <w:p>
      <w:pPr>
        <w:adjustRightInd w:val="0"/>
        <w:snapToGrid w:val="0"/>
        <w:spacing w:line="360" w:lineRule="auto"/>
        <w:rPr>
          <w:rFonts w:ascii="仿宋_GB2312" w:hAnsi="宋体" w:eastAsia="仿宋_GB2312" w:cs="宋体"/>
          <w:bCs/>
          <w:kern w:val="0"/>
          <w:sz w:val="30"/>
          <w:szCs w:val="30"/>
          <w:lang w:bidi="en-US"/>
        </w:rPr>
      </w:pPr>
      <w:r>
        <w:rPr>
          <w:rFonts w:ascii="仿宋_GB2312" w:hAnsi="宋体" w:eastAsia="仿宋_GB2312" w:cs="宋体"/>
          <w:bCs/>
          <w:kern w:val="0"/>
          <w:sz w:val="30"/>
          <w:szCs w:val="30"/>
          <w:lang w:val="en-US" w:eastAsia="zh-CN" w:bidi="ar-SA"/>
        </w:rPr>
        <w:pict>
          <v:shape id="图片 1" o:spid="_x0000_s1026" type="#_x0000_t75" style="height:439.5pt;width:436.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spacing w:line="560" w:lineRule="atLeast"/>
        <w:ind w:firstLine="560" w:firstLineChars="200"/>
        <w:rPr>
          <w:rFonts w:ascii="仿宋_GB2312" w:hAnsi="宋体" w:eastAsia="仿宋_GB2312"/>
          <w:sz w:val="28"/>
          <w:szCs w:val="28"/>
        </w:rPr>
      </w:pP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（二）竞赛时间</w:t>
      </w:r>
      <w:r>
        <w:rPr>
          <w:rFonts w:ascii="仿宋_GB2312" w:hAnsi="宋体" w:eastAsia="仿宋_GB2312"/>
          <w:sz w:val="28"/>
          <w:szCs w:val="28"/>
        </w:rPr>
        <w:t>表</w:t>
      </w:r>
    </w:p>
    <w:p>
      <w:pPr>
        <w:spacing w:line="560" w:lineRule="atLeast"/>
        <w:ind w:firstLine="560" w:firstLineChars="200"/>
        <w:rPr>
          <w:rFonts w:ascii="仿宋_GB2312" w:hAnsi="宋体" w:eastAsia="仿宋_GB2312"/>
          <w:sz w:val="28"/>
          <w:szCs w:val="28"/>
        </w:rPr>
      </w:pPr>
      <w:r>
        <w:rPr>
          <w:rFonts w:ascii="仿宋_GB2312" w:hAnsi="宋体" w:eastAsia="仿宋_GB2312"/>
          <w:sz w:val="28"/>
          <w:szCs w:val="28"/>
        </w:rPr>
        <w:t>比赛限定在1天内进行，</w:t>
      </w:r>
      <w:r>
        <w:rPr>
          <w:rFonts w:hint="eastAsia" w:ascii="仿宋_GB2312" w:hAnsi="宋体" w:eastAsia="仿宋_GB2312"/>
          <w:sz w:val="28"/>
          <w:szCs w:val="28"/>
        </w:rPr>
        <w:t>赛项竞赛时间为</w:t>
      </w:r>
      <w:r>
        <w:rPr>
          <w:rFonts w:ascii="仿宋_GB2312" w:hAnsi="宋体" w:eastAsia="仿宋_GB2312"/>
          <w:sz w:val="28"/>
          <w:szCs w:val="28"/>
        </w:rPr>
        <w:t>6小时，时间为9:00-15:00</w:t>
      </w:r>
      <w:r>
        <w:rPr>
          <w:rFonts w:hint="eastAsia" w:ascii="仿宋_GB2312" w:hAnsi="宋体" w:eastAsia="仿宋_GB2312"/>
          <w:sz w:val="28"/>
          <w:szCs w:val="28"/>
        </w:rPr>
        <w:t>，</w:t>
      </w:r>
      <w:r>
        <w:rPr>
          <w:rFonts w:ascii="仿宋_GB2312" w:hAnsi="宋体" w:eastAsia="仿宋_GB2312"/>
          <w:sz w:val="28"/>
          <w:szCs w:val="28"/>
        </w:rPr>
        <w:t>具体安排如下：</w:t>
      </w:r>
    </w:p>
    <w:tbl>
      <w:tblPr>
        <w:tblStyle w:val="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36"/>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9" w:hRule="atLeast"/>
          <w:jc w:val="center"/>
        </w:trPr>
        <w:tc>
          <w:tcPr>
            <w:tcW w:w="8296" w:type="dxa"/>
            <w:gridSpan w:val="2"/>
            <w:vAlign w:val="bottom"/>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9" w:hRule="atLeast"/>
          <w:jc w:val="center"/>
        </w:trPr>
        <w:tc>
          <w:tcPr>
            <w:tcW w:w="1936" w:type="dxa"/>
            <w:vAlign w:val="bottom"/>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bCs/>
                <w:kern w:val="0"/>
                <w:sz w:val="24"/>
                <w:szCs w:val="24"/>
              </w:rPr>
            </w:pPr>
            <w:r>
              <w:rPr>
                <w:rFonts w:hint="eastAsia" w:ascii="仿宋_GB2312" w:hAnsi="仿宋" w:eastAsia="仿宋_GB2312"/>
                <w:bCs/>
                <w:kern w:val="0"/>
                <w:sz w:val="24"/>
                <w:szCs w:val="24"/>
              </w:rPr>
              <w:t>07:30</w:t>
            </w:r>
          </w:p>
        </w:tc>
        <w:tc>
          <w:tcPr>
            <w:tcW w:w="6360" w:type="dxa"/>
            <w:vAlign w:val="bottom"/>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kern w:val="0"/>
                <w:sz w:val="24"/>
                <w:szCs w:val="24"/>
              </w:rPr>
            </w:pPr>
            <w:r>
              <w:rPr>
                <w:rFonts w:hint="eastAsia" w:ascii="仿宋_GB2312" w:hAnsi="仿宋" w:eastAsia="仿宋_GB2312"/>
                <w:kern w:val="0"/>
                <w:sz w:val="24"/>
                <w:szCs w:val="24"/>
              </w:rPr>
              <w:t>裁判进入裁判室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9" w:hRule="atLeast"/>
          <w:jc w:val="center"/>
        </w:trPr>
        <w:tc>
          <w:tcPr>
            <w:tcW w:w="1936" w:type="dxa"/>
            <w:vAlign w:val="bottom"/>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bCs/>
                <w:kern w:val="0"/>
                <w:sz w:val="24"/>
                <w:szCs w:val="24"/>
              </w:rPr>
            </w:pPr>
            <w:r>
              <w:rPr>
                <w:rFonts w:hint="eastAsia" w:ascii="仿宋_GB2312" w:hAnsi="仿宋" w:eastAsia="仿宋_GB2312"/>
                <w:bCs/>
                <w:kern w:val="0"/>
                <w:sz w:val="24"/>
                <w:szCs w:val="24"/>
              </w:rPr>
              <w:t xml:space="preserve">08:00-08:30 </w:t>
            </w:r>
          </w:p>
        </w:tc>
        <w:tc>
          <w:tcPr>
            <w:tcW w:w="6360" w:type="dxa"/>
            <w:vAlign w:val="bottom"/>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bCs/>
                <w:kern w:val="0"/>
                <w:sz w:val="24"/>
                <w:szCs w:val="24"/>
              </w:rPr>
            </w:pPr>
            <w:r>
              <w:rPr>
                <w:rFonts w:hint="eastAsia" w:ascii="仿宋_GB2312" w:hAnsi="仿宋" w:eastAsia="仿宋_GB2312"/>
                <w:bCs/>
                <w:kern w:val="0"/>
                <w:sz w:val="24"/>
                <w:szCs w:val="24"/>
              </w:rPr>
              <w:t>选手抽签，一次加密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9" w:hRule="atLeast"/>
          <w:jc w:val="center"/>
        </w:trPr>
        <w:tc>
          <w:tcPr>
            <w:tcW w:w="1936" w:type="dxa"/>
            <w:vAlign w:val="bottom"/>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bCs/>
                <w:kern w:val="0"/>
                <w:sz w:val="24"/>
                <w:szCs w:val="24"/>
              </w:rPr>
            </w:pPr>
            <w:r>
              <w:rPr>
                <w:rFonts w:hint="eastAsia" w:ascii="仿宋_GB2312" w:hAnsi="仿宋" w:eastAsia="仿宋_GB2312"/>
                <w:bCs/>
                <w:kern w:val="0"/>
                <w:sz w:val="24"/>
                <w:szCs w:val="24"/>
              </w:rPr>
              <w:t>08:30-08:50</w:t>
            </w:r>
          </w:p>
        </w:tc>
        <w:tc>
          <w:tcPr>
            <w:tcW w:w="6360" w:type="dxa"/>
            <w:vAlign w:val="bottom"/>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kern w:val="0"/>
                <w:sz w:val="24"/>
                <w:szCs w:val="24"/>
              </w:rPr>
            </w:pPr>
            <w:r>
              <w:rPr>
                <w:rFonts w:hint="eastAsia" w:ascii="仿宋_GB2312" w:hAnsi="仿宋" w:eastAsia="仿宋_GB2312"/>
                <w:bCs/>
                <w:kern w:val="0"/>
                <w:sz w:val="24"/>
                <w:szCs w:val="24"/>
              </w:rPr>
              <w:t>选手抽签，二次加密及入场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9" w:hRule="atLeast"/>
          <w:jc w:val="center"/>
        </w:trPr>
        <w:tc>
          <w:tcPr>
            <w:tcW w:w="1936" w:type="dxa"/>
            <w:vAlign w:val="bottom"/>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bCs/>
                <w:kern w:val="0"/>
                <w:sz w:val="24"/>
                <w:szCs w:val="24"/>
              </w:rPr>
            </w:pPr>
            <w:r>
              <w:rPr>
                <w:rFonts w:hint="eastAsia" w:ascii="仿宋_GB2312" w:hAnsi="仿宋" w:eastAsia="仿宋_GB2312"/>
                <w:bCs/>
                <w:kern w:val="0"/>
                <w:sz w:val="24"/>
                <w:szCs w:val="24"/>
              </w:rPr>
              <w:t>08:50-09:00</w:t>
            </w:r>
          </w:p>
        </w:tc>
        <w:tc>
          <w:tcPr>
            <w:tcW w:w="6360" w:type="dxa"/>
            <w:vAlign w:val="bottom"/>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kern w:val="0"/>
                <w:sz w:val="24"/>
                <w:szCs w:val="24"/>
              </w:rPr>
            </w:pPr>
            <w:r>
              <w:rPr>
                <w:rFonts w:hint="eastAsia" w:ascii="仿宋_GB2312" w:hAnsi="仿宋" w:eastAsia="仿宋_GB2312"/>
                <w:kern w:val="0"/>
                <w:sz w:val="24"/>
                <w:szCs w:val="24"/>
              </w:rPr>
              <w:t>参赛代表队就位，宣读考场纪律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9" w:hRule="atLeast"/>
          <w:jc w:val="center"/>
        </w:trPr>
        <w:tc>
          <w:tcPr>
            <w:tcW w:w="1936" w:type="dxa"/>
            <w:vAlign w:val="bottom"/>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bCs/>
                <w:kern w:val="0"/>
                <w:sz w:val="24"/>
                <w:szCs w:val="24"/>
              </w:rPr>
            </w:pPr>
            <w:r>
              <w:rPr>
                <w:rFonts w:hint="eastAsia" w:ascii="仿宋_GB2312" w:hAnsi="仿宋" w:eastAsia="仿宋_GB2312"/>
                <w:bCs/>
                <w:kern w:val="0"/>
                <w:sz w:val="24"/>
                <w:szCs w:val="24"/>
              </w:rPr>
              <w:t>09:00-09:15</w:t>
            </w:r>
          </w:p>
        </w:tc>
        <w:tc>
          <w:tcPr>
            <w:tcW w:w="6360" w:type="dxa"/>
            <w:vAlign w:val="bottom"/>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kern w:val="0"/>
                <w:sz w:val="24"/>
                <w:szCs w:val="24"/>
              </w:rPr>
            </w:pPr>
            <w:r>
              <w:rPr>
                <w:rFonts w:hint="eastAsia" w:ascii="仿宋_GB2312" w:hAnsi="仿宋" w:eastAsia="仿宋_GB2312"/>
                <w:kern w:val="0"/>
                <w:sz w:val="24"/>
                <w:szCs w:val="24"/>
              </w:rPr>
              <w:t>第一阶段和第二阶段赛题发放时间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9" w:hRule="atLeast"/>
          <w:jc w:val="center"/>
        </w:trPr>
        <w:tc>
          <w:tcPr>
            <w:tcW w:w="1936" w:type="dxa"/>
            <w:vAlign w:val="bottom"/>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bCs/>
                <w:kern w:val="0"/>
                <w:sz w:val="24"/>
                <w:szCs w:val="24"/>
              </w:rPr>
            </w:pPr>
            <w:r>
              <w:rPr>
                <w:rFonts w:hint="eastAsia" w:ascii="仿宋_GB2312" w:hAnsi="仿宋" w:eastAsia="仿宋_GB2312"/>
                <w:bCs/>
                <w:kern w:val="0"/>
                <w:sz w:val="24"/>
                <w:szCs w:val="24"/>
              </w:rPr>
              <w:t>09:15-13:30</w:t>
            </w:r>
          </w:p>
        </w:tc>
        <w:tc>
          <w:tcPr>
            <w:tcW w:w="6360" w:type="dxa"/>
            <w:vAlign w:val="bottom"/>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kern w:val="0"/>
                <w:sz w:val="24"/>
                <w:szCs w:val="24"/>
              </w:rPr>
            </w:pPr>
            <w:r>
              <w:rPr>
                <w:rFonts w:hint="eastAsia" w:ascii="仿宋_GB2312" w:hAnsi="仿宋" w:eastAsia="仿宋_GB2312"/>
                <w:kern w:val="0"/>
                <w:sz w:val="24"/>
                <w:szCs w:val="24"/>
              </w:rPr>
              <w:t>第一阶段和第二阶段正式比赛时间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9" w:hRule="atLeast"/>
          <w:jc w:val="center"/>
        </w:trPr>
        <w:tc>
          <w:tcPr>
            <w:tcW w:w="1936" w:type="dxa"/>
            <w:vAlign w:val="bottom"/>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bCs/>
                <w:kern w:val="0"/>
                <w:sz w:val="24"/>
                <w:szCs w:val="24"/>
              </w:rPr>
            </w:pPr>
            <w:r>
              <w:rPr>
                <w:rFonts w:hint="eastAsia" w:ascii="仿宋_GB2312" w:hAnsi="仿宋" w:eastAsia="仿宋_GB2312"/>
                <w:bCs/>
                <w:kern w:val="0"/>
                <w:sz w:val="24"/>
                <w:szCs w:val="24"/>
              </w:rPr>
              <w:t>13:30-14:00</w:t>
            </w:r>
          </w:p>
        </w:tc>
        <w:tc>
          <w:tcPr>
            <w:tcW w:w="6360" w:type="dxa"/>
            <w:vAlign w:val="bottom"/>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kern w:val="0"/>
                <w:sz w:val="24"/>
                <w:szCs w:val="24"/>
              </w:rPr>
            </w:pPr>
            <w:r>
              <w:rPr>
                <w:rFonts w:hint="eastAsia" w:ascii="仿宋_GB2312" w:hAnsi="仿宋" w:eastAsia="仿宋_GB2312"/>
                <w:kern w:val="0"/>
                <w:sz w:val="24"/>
                <w:szCs w:val="24"/>
              </w:rPr>
              <w:t>第一阶段与第二阶段比赛结果提交时间，三次加密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9" w:hRule="atLeast"/>
          <w:jc w:val="center"/>
        </w:trPr>
        <w:tc>
          <w:tcPr>
            <w:tcW w:w="1936" w:type="dxa"/>
            <w:vAlign w:val="bottom"/>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bCs/>
                <w:kern w:val="0"/>
                <w:sz w:val="24"/>
                <w:szCs w:val="24"/>
              </w:rPr>
            </w:pPr>
            <w:r>
              <w:rPr>
                <w:rFonts w:hint="eastAsia" w:ascii="仿宋_GB2312" w:hAnsi="仿宋" w:eastAsia="仿宋_GB2312"/>
                <w:bCs/>
                <w:kern w:val="0"/>
                <w:sz w:val="24"/>
                <w:szCs w:val="24"/>
              </w:rPr>
              <w:t>14:00-14:15</w:t>
            </w:r>
          </w:p>
        </w:tc>
        <w:tc>
          <w:tcPr>
            <w:tcW w:w="6360" w:type="dxa"/>
            <w:vAlign w:val="bottom"/>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kern w:val="0"/>
                <w:sz w:val="24"/>
                <w:szCs w:val="24"/>
              </w:rPr>
            </w:pPr>
            <w:r>
              <w:rPr>
                <w:rFonts w:hint="eastAsia" w:ascii="仿宋_GB2312" w:hAnsi="仿宋" w:eastAsia="仿宋_GB2312"/>
                <w:kern w:val="0"/>
                <w:sz w:val="24"/>
                <w:szCs w:val="24"/>
              </w:rPr>
              <w:t>第三阶段赛题发放时间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9" w:hRule="atLeast"/>
          <w:jc w:val="center"/>
        </w:trPr>
        <w:tc>
          <w:tcPr>
            <w:tcW w:w="1936" w:type="dxa"/>
            <w:vAlign w:val="bottom"/>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bCs/>
                <w:kern w:val="0"/>
                <w:sz w:val="24"/>
                <w:szCs w:val="24"/>
              </w:rPr>
            </w:pPr>
            <w:r>
              <w:rPr>
                <w:rFonts w:hint="eastAsia" w:ascii="仿宋_GB2312" w:hAnsi="仿宋" w:eastAsia="仿宋_GB2312"/>
                <w:bCs/>
                <w:kern w:val="0"/>
                <w:sz w:val="24"/>
                <w:szCs w:val="24"/>
              </w:rPr>
              <w:t>14:15-15:00</w:t>
            </w:r>
          </w:p>
        </w:tc>
        <w:tc>
          <w:tcPr>
            <w:tcW w:w="6360" w:type="dxa"/>
            <w:vAlign w:val="bottom"/>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kern w:val="0"/>
                <w:sz w:val="24"/>
                <w:szCs w:val="24"/>
              </w:rPr>
            </w:pPr>
            <w:r>
              <w:rPr>
                <w:rFonts w:hint="eastAsia" w:ascii="仿宋_GB2312" w:hAnsi="仿宋" w:eastAsia="仿宋_GB2312"/>
                <w:kern w:val="0"/>
                <w:sz w:val="24"/>
                <w:szCs w:val="24"/>
              </w:rPr>
              <w:t>第三阶段正式比赛时间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9" w:hRule="atLeast"/>
          <w:jc w:val="center"/>
        </w:trPr>
        <w:tc>
          <w:tcPr>
            <w:tcW w:w="1936" w:type="dxa"/>
            <w:vAlign w:val="bottom"/>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bCs/>
                <w:kern w:val="0"/>
                <w:sz w:val="24"/>
                <w:szCs w:val="24"/>
              </w:rPr>
            </w:pPr>
            <w:r>
              <w:rPr>
                <w:rFonts w:hint="eastAsia" w:ascii="仿宋_GB2312" w:hAnsi="仿宋" w:eastAsia="仿宋_GB2312"/>
                <w:bCs/>
                <w:kern w:val="0"/>
                <w:sz w:val="24"/>
                <w:szCs w:val="24"/>
              </w:rPr>
              <w:t>15:00</w:t>
            </w:r>
          </w:p>
        </w:tc>
        <w:tc>
          <w:tcPr>
            <w:tcW w:w="6360" w:type="dxa"/>
            <w:vAlign w:val="bottom"/>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kern w:val="0"/>
                <w:sz w:val="24"/>
                <w:szCs w:val="24"/>
              </w:rPr>
            </w:pPr>
            <w:r>
              <w:rPr>
                <w:rFonts w:hint="eastAsia" w:ascii="仿宋_GB2312" w:hAnsi="仿宋" w:eastAsia="仿宋_GB2312"/>
                <w:kern w:val="0"/>
                <w:sz w:val="24"/>
                <w:szCs w:val="24"/>
              </w:rPr>
              <w:t>比赛正式结束</w:t>
            </w:r>
          </w:p>
        </w:tc>
      </w:tr>
    </w:tbl>
    <w:p>
      <w:pPr>
        <w:adjustRightInd w:val="0"/>
        <w:snapToGrid w:val="0"/>
        <w:spacing w:line="560" w:lineRule="atLeast"/>
        <w:ind w:firstLine="549" w:firstLineChars="196"/>
        <w:rPr>
          <w:rFonts w:ascii="仿宋_GB2312" w:hAnsi="宋体" w:eastAsia="仿宋_GB2312"/>
          <w:sz w:val="28"/>
          <w:szCs w:val="28"/>
        </w:rPr>
      </w:pPr>
      <w:r>
        <w:rPr>
          <w:rFonts w:hint="eastAsia" w:ascii="仿宋_GB2312" w:hAnsi="宋体" w:eastAsia="仿宋_GB2312"/>
          <w:sz w:val="28"/>
          <w:szCs w:val="28"/>
        </w:rPr>
        <w:t>备注：第一阶段和第二阶段赛题在开始比赛时同时发放，并于13：30统一提交答题成果，交卷完毕后发放第三阶段赛题。</w:t>
      </w:r>
    </w:p>
    <w:p>
      <w:pPr>
        <w:adjustRightInd w:val="0"/>
        <w:snapToGrid w:val="0"/>
        <w:spacing w:line="560" w:lineRule="atLeast"/>
        <w:ind w:firstLine="549" w:firstLineChars="196"/>
        <w:rPr>
          <w:rFonts w:ascii="仿宋_GB2312" w:hAnsi="宋体" w:eastAsia="仿宋_GB2312"/>
          <w:b/>
          <w:sz w:val="28"/>
          <w:szCs w:val="28"/>
        </w:rPr>
      </w:pPr>
      <w:r>
        <w:rPr>
          <w:rFonts w:hint="eastAsia" w:ascii="仿宋_GB2312" w:hAnsi="宋体" w:eastAsia="仿宋_GB2312"/>
          <w:sz w:val="28"/>
          <w:szCs w:val="28"/>
        </w:rPr>
        <w:t>参赛选手午餐时间由大赛组委会统一安排，就餐时间计入比赛时间。</w:t>
      </w:r>
    </w:p>
    <w:p>
      <w:pPr>
        <w:spacing w:line="560" w:lineRule="atLeast"/>
        <w:rPr>
          <w:rFonts w:ascii="仿宋_GB2312" w:hAnsi="黑体" w:eastAsia="仿宋_GB2312"/>
          <w:b/>
          <w:sz w:val="28"/>
          <w:szCs w:val="28"/>
        </w:rPr>
      </w:pPr>
      <w:r>
        <w:rPr>
          <w:rFonts w:hint="eastAsia" w:ascii="仿宋_GB2312" w:hAnsi="黑体" w:eastAsia="仿宋_GB2312"/>
          <w:b/>
          <w:sz w:val="28"/>
          <w:szCs w:val="28"/>
          <w:lang w:val="en-US" w:eastAsia="zh-CN"/>
        </w:rPr>
        <w:t xml:space="preserve">    </w:t>
      </w:r>
      <w:r>
        <w:rPr>
          <w:rFonts w:hint="eastAsia" w:ascii="仿宋_GB2312" w:hAnsi="黑体" w:eastAsia="仿宋_GB2312"/>
          <w:b/>
          <w:sz w:val="28"/>
          <w:szCs w:val="28"/>
        </w:rPr>
        <w:t>六、竞赛赛题</w:t>
      </w:r>
    </w:p>
    <w:p>
      <w:pPr>
        <w:spacing w:line="560" w:lineRule="atLeast"/>
        <w:ind w:firstLine="549" w:firstLineChars="196"/>
        <w:rPr>
          <w:rFonts w:ascii="仿宋_GB2312" w:hAnsi="仿宋_GB2312" w:eastAsia="仿宋_GB2312" w:cs="Times New Roman"/>
          <w:sz w:val="28"/>
          <w:szCs w:val="28"/>
        </w:rPr>
      </w:pPr>
      <w:r>
        <w:rPr>
          <w:rFonts w:hint="eastAsia" w:ascii="仿宋_GB2312" w:hAnsi="仿宋_GB2312" w:eastAsia="仿宋_GB2312" w:cs="Times New Roman"/>
          <w:sz w:val="28"/>
          <w:szCs w:val="28"/>
        </w:rPr>
        <w:t>1．赛项执委会下设的命题专家组负责本赛项命题工作。</w:t>
      </w:r>
    </w:p>
    <w:p>
      <w:pPr>
        <w:snapToGrid w:val="0"/>
        <w:spacing w:line="560" w:lineRule="atLeast"/>
        <w:ind w:firstLine="560" w:firstLineChars="200"/>
        <w:contextualSpacing/>
        <w:rPr>
          <w:rFonts w:ascii="仿宋_GB2312" w:hAnsi="仿宋_GB2312" w:eastAsia="仿宋_GB2312"/>
          <w:sz w:val="28"/>
          <w:szCs w:val="28"/>
        </w:rPr>
      </w:pPr>
      <w:r>
        <w:rPr>
          <w:rFonts w:hint="eastAsia" w:ascii="仿宋_GB2312" w:hAnsi="仿宋_GB2312" w:eastAsia="仿宋_GB2312" w:cs="Times New Roman"/>
          <w:sz w:val="28"/>
          <w:szCs w:val="28"/>
        </w:rPr>
        <w:t>2．本赛项为公开赛题，竞赛赛题</w:t>
      </w:r>
      <w:r>
        <w:rPr>
          <w:rFonts w:hint="eastAsia" w:ascii="仿宋_GB2312" w:hAnsi="仿宋_GB2312" w:eastAsia="仿宋_GB2312"/>
          <w:sz w:val="28"/>
          <w:szCs w:val="28"/>
        </w:rPr>
        <w:t>距国赛开始日1月之前公开。</w:t>
      </w:r>
    </w:p>
    <w:p>
      <w:pPr>
        <w:snapToGrid w:val="0"/>
        <w:spacing w:line="560" w:lineRule="atLeast"/>
        <w:ind w:firstLine="560" w:firstLineChars="200"/>
        <w:contextualSpacing/>
        <w:rPr>
          <w:rFonts w:ascii="仿宋_GB2312" w:hAnsi="仿宋_GB2312" w:eastAsia="仿宋_GB2312" w:cs="Times New Roman"/>
          <w:sz w:val="28"/>
          <w:szCs w:val="28"/>
        </w:rPr>
      </w:pPr>
      <w:r>
        <w:rPr>
          <w:rFonts w:hint="eastAsia" w:ascii="仿宋_GB2312" w:hAnsi="仿宋_GB2312" w:eastAsia="仿宋_GB2312" w:cs="Times New Roman"/>
          <w:sz w:val="28"/>
          <w:szCs w:val="28"/>
        </w:rPr>
        <w:t>3．本赛项通过全国职业院校技能大赛指定的网络信息发布平台（www.chinaskills.org）公布竞赛赛题。</w:t>
      </w:r>
    </w:p>
    <w:p>
      <w:pPr>
        <w:spacing w:line="560" w:lineRule="atLeast"/>
        <w:rPr>
          <w:rFonts w:ascii="仿宋_GB2312" w:hAnsi="黑体" w:eastAsia="仿宋_GB2312"/>
          <w:b/>
          <w:sz w:val="28"/>
          <w:szCs w:val="28"/>
        </w:rPr>
      </w:pPr>
      <w:r>
        <w:rPr>
          <w:rFonts w:hint="eastAsia" w:ascii="仿宋_GB2312" w:hAnsi="黑体" w:eastAsia="仿宋_GB2312"/>
          <w:b/>
          <w:sz w:val="28"/>
          <w:szCs w:val="28"/>
          <w:lang w:val="en-US" w:eastAsia="zh-CN"/>
        </w:rPr>
        <w:t xml:space="preserve">    </w:t>
      </w:r>
      <w:r>
        <w:rPr>
          <w:rFonts w:hint="eastAsia" w:ascii="仿宋_GB2312" w:hAnsi="黑体" w:eastAsia="仿宋_GB2312"/>
          <w:b/>
          <w:sz w:val="28"/>
          <w:szCs w:val="28"/>
        </w:rPr>
        <w:t>七、竞赛规则</w:t>
      </w:r>
    </w:p>
    <w:p>
      <w:pPr>
        <w:spacing w:line="560" w:lineRule="atLeast"/>
        <w:ind w:firstLine="549" w:firstLineChars="196"/>
        <w:rPr>
          <w:rFonts w:ascii="仿宋_GB2312" w:hAnsi="宋体" w:eastAsia="仿宋_GB2312"/>
          <w:sz w:val="28"/>
          <w:szCs w:val="28"/>
        </w:rPr>
      </w:pPr>
      <w:r>
        <w:rPr>
          <w:rFonts w:hint="eastAsia" w:ascii="仿宋_GB2312" w:hAnsi="宋体" w:eastAsia="仿宋_GB2312"/>
          <w:sz w:val="28"/>
          <w:szCs w:val="28"/>
        </w:rPr>
        <w:t xml:space="preserve"> 竞赛工位通过抽签决定，竞赛期间参赛选手不得离开竞赛工位。</w:t>
      </w:r>
    </w:p>
    <w:p>
      <w:pPr>
        <w:numPr>
          <w:ilvl w:val="0"/>
          <w:numId w:val="2"/>
        </w:numPr>
        <w:adjustRightInd w:val="0"/>
        <w:snapToGrid w:val="0"/>
        <w:spacing w:line="560" w:lineRule="atLeast"/>
        <w:ind w:left="0" w:firstLine="560" w:firstLineChars="200"/>
        <w:rPr>
          <w:rFonts w:ascii="仿宋_GB2312" w:hAnsi="宋体" w:eastAsia="仿宋_GB2312"/>
          <w:sz w:val="28"/>
          <w:szCs w:val="28"/>
        </w:rPr>
      </w:pPr>
      <w:r>
        <w:rPr>
          <w:rFonts w:hint="eastAsia" w:ascii="仿宋_GB2312" w:hAnsi="宋体" w:eastAsia="仿宋_GB2312"/>
          <w:sz w:val="28"/>
          <w:szCs w:val="28"/>
        </w:rPr>
        <w:t xml:space="preserve"> 竞赛所需的硬件设备、系统软件和辅助工具由组委会统一安排，参赛选手不得自带硬件设备、软件、移动存储、辅助工具、移动通信等进入竞赛现场。</w:t>
      </w:r>
    </w:p>
    <w:p>
      <w:pPr>
        <w:numPr>
          <w:ilvl w:val="0"/>
          <w:numId w:val="2"/>
        </w:numPr>
        <w:adjustRightInd w:val="0"/>
        <w:snapToGrid w:val="0"/>
        <w:spacing w:line="560" w:lineRule="atLeast"/>
        <w:ind w:left="0" w:firstLine="560" w:firstLineChars="200"/>
        <w:rPr>
          <w:rFonts w:ascii="仿宋_GB2312" w:hAnsi="宋体" w:eastAsia="仿宋_GB2312"/>
          <w:sz w:val="28"/>
          <w:szCs w:val="28"/>
        </w:rPr>
      </w:pPr>
      <w:r>
        <w:rPr>
          <w:rFonts w:hint="eastAsia" w:ascii="仿宋_GB2312" w:hAnsi="宋体" w:eastAsia="仿宋_GB2312"/>
          <w:sz w:val="28"/>
          <w:szCs w:val="28"/>
        </w:rPr>
        <w:t xml:space="preserve"> 参赛队自行决定选手分工、工作程序和时间安排。</w:t>
      </w:r>
    </w:p>
    <w:p>
      <w:pPr>
        <w:numPr>
          <w:ilvl w:val="0"/>
          <w:numId w:val="2"/>
        </w:numPr>
        <w:adjustRightInd w:val="0"/>
        <w:snapToGrid w:val="0"/>
        <w:spacing w:line="560" w:lineRule="atLeast"/>
        <w:ind w:left="0" w:firstLine="560" w:firstLineChars="200"/>
        <w:rPr>
          <w:rFonts w:ascii="仿宋_GB2312" w:hAnsi="宋体" w:eastAsia="仿宋_GB2312"/>
          <w:sz w:val="28"/>
          <w:szCs w:val="28"/>
        </w:rPr>
      </w:pPr>
      <w:r>
        <w:rPr>
          <w:rFonts w:hint="eastAsia" w:ascii="仿宋_GB2312" w:hAnsi="宋体" w:eastAsia="仿宋_GB2312"/>
          <w:sz w:val="28"/>
          <w:szCs w:val="28"/>
        </w:rPr>
        <w:t xml:space="preserve"> 参赛队在赛前10分钟进入竞赛工位并领取竞赛任务，竞赛正式开始后方可展开相关工作。</w:t>
      </w:r>
    </w:p>
    <w:p>
      <w:pPr>
        <w:numPr>
          <w:ilvl w:val="0"/>
          <w:numId w:val="2"/>
        </w:numPr>
        <w:adjustRightInd w:val="0"/>
        <w:snapToGrid w:val="0"/>
        <w:spacing w:line="560" w:lineRule="atLeast"/>
        <w:ind w:left="0" w:firstLine="560" w:firstLineChars="200"/>
        <w:rPr>
          <w:rFonts w:ascii="仿宋_GB2312" w:hAnsi="宋体" w:eastAsia="仿宋_GB2312"/>
          <w:sz w:val="28"/>
          <w:szCs w:val="28"/>
        </w:rPr>
      </w:pPr>
      <w:r>
        <w:rPr>
          <w:rFonts w:hint="eastAsia" w:ascii="仿宋_GB2312" w:hAnsi="宋体" w:eastAsia="仿宋_GB2312"/>
          <w:sz w:val="28"/>
          <w:szCs w:val="28"/>
        </w:rPr>
        <w:t xml:space="preserve"> 竞赛过程中，选手须严格遵守操作规程，确保人身及设备安全，并接受裁判员的监督和警示。若因选手因素造成设备故障或损坏，无法继续竞赛，裁判长有权决定终止该队竞赛；若因非参赛选手个人因素造成设备故障，由裁判长视具体情况做出裁决。</w:t>
      </w:r>
    </w:p>
    <w:p>
      <w:pPr>
        <w:numPr>
          <w:ilvl w:val="0"/>
          <w:numId w:val="2"/>
        </w:numPr>
        <w:adjustRightInd w:val="0"/>
        <w:snapToGrid w:val="0"/>
        <w:spacing w:line="560" w:lineRule="atLeast"/>
        <w:ind w:left="0" w:firstLine="560" w:firstLineChars="200"/>
        <w:rPr>
          <w:rFonts w:ascii="仿宋_GB2312" w:hAnsi="宋体" w:eastAsia="仿宋_GB2312"/>
          <w:sz w:val="28"/>
          <w:szCs w:val="28"/>
        </w:rPr>
      </w:pPr>
      <w:r>
        <w:rPr>
          <w:rFonts w:hint="eastAsia" w:ascii="仿宋_GB2312" w:hAnsi="宋体" w:eastAsia="仿宋_GB2312"/>
          <w:sz w:val="28"/>
          <w:szCs w:val="28"/>
        </w:rPr>
        <w:t xml:space="preserve"> 竞赛结束（或提前完成）后，参赛队要确认已成功提交所有竞赛文档，裁判员与参赛队队长一起签字确认，参赛队在确认后不得再进行任何操作。</w:t>
      </w:r>
    </w:p>
    <w:p>
      <w:pPr>
        <w:spacing w:line="560" w:lineRule="atLeast"/>
        <w:rPr>
          <w:rFonts w:ascii="仿宋_GB2312" w:hAnsi="黑体" w:eastAsia="仿宋_GB2312"/>
          <w:b/>
          <w:sz w:val="28"/>
          <w:szCs w:val="28"/>
        </w:rPr>
      </w:pPr>
      <w:r>
        <w:rPr>
          <w:rFonts w:hint="eastAsia" w:ascii="仿宋_GB2312" w:hAnsi="黑体" w:eastAsia="仿宋_GB2312"/>
          <w:b/>
          <w:sz w:val="28"/>
          <w:szCs w:val="28"/>
          <w:lang w:val="en-US" w:eastAsia="zh-CN"/>
        </w:rPr>
        <w:t xml:space="preserve">    </w:t>
      </w:r>
      <w:r>
        <w:rPr>
          <w:rFonts w:hint="eastAsia" w:ascii="仿宋_GB2312" w:hAnsi="黑体" w:eastAsia="仿宋_GB2312"/>
          <w:b/>
          <w:sz w:val="28"/>
          <w:szCs w:val="28"/>
        </w:rPr>
        <w:t>八、竞赛环境</w:t>
      </w:r>
    </w:p>
    <w:p>
      <w:pPr>
        <w:spacing w:line="560" w:lineRule="atLeast"/>
        <w:ind w:firstLine="549" w:firstLineChars="196"/>
        <w:rPr>
          <w:rFonts w:ascii="仿宋_GB2312" w:hAnsi="仿宋" w:eastAsia="仿宋_GB2312"/>
          <w:sz w:val="28"/>
          <w:szCs w:val="28"/>
        </w:rPr>
      </w:pPr>
      <w:r>
        <w:rPr>
          <w:rFonts w:hint="eastAsia" w:ascii="仿宋_GB2312" w:hAnsi="仿宋" w:eastAsia="仿宋_GB2312"/>
          <w:sz w:val="28"/>
          <w:szCs w:val="28"/>
        </w:rPr>
        <w:t>竞赛工位内设有操作平台，每工位配备220V电源，工位内的电缆线应符合安全要求。每个竞赛工位面积</w:t>
      </w:r>
      <w:r>
        <w:rPr>
          <w:rFonts w:hint="eastAsia" w:ascii="仿宋_GB2312" w:hAnsi="宋体" w:eastAsia="仿宋_GB2312"/>
          <w:sz w:val="28"/>
          <w:szCs w:val="28"/>
        </w:rPr>
        <w:t>≥</w:t>
      </w:r>
      <w:r>
        <w:rPr>
          <w:rFonts w:hint="eastAsia" w:ascii="仿宋_GB2312" w:hAnsi="仿宋" w:eastAsia="仿宋_GB2312"/>
          <w:sz w:val="28"/>
          <w:szCs w:val="28"/>
        </w:rPr>
        <w:t>6</w:t>
      </w:r>
      <w:r>
        <w:rPr>
          <w:rFonts w:hint="eastAsia" w:ascii="仿宋_GB2312" w:hAnsi="仿宋" w:eastAsia="仿宋" w:cs="宋体"/>
          <w:sz w:val="28"/>
          <w:szCs w:val="28"/>
        </w:rPr>
        <w:t>㎡</w:t>
      </w:r>
      <w:r>
        <w:rPr>
          <w:rFonts w:hint="eastAsia" w:ascii="仿宋_GB2312" w:hAnsi="仿宋" w:eastAsia="仿宋_GB2312"/>
          <w:sz w:val="28"/>
          <w:szCs w:val="28"/>
        </w:rPr>
        <w:t>，确保参赛队之间互不干扰。竞赛工位标明工位号，并配备竞赛平台和技术工作要求的软、硬件。环境标准要求保证赛场采光(大于500lux)、照明和通风良好；每支参赛队提供一个垃圾箱。</w:t>
      </w:r>
    </w:p>
    <w:p>
      <w:pPr>
        <w:adjustRightInd w:val="0"/>
        <w:snapToGrid w:val="0"/>
        <w:spacing w:line="560" w:lineRule="atLeast"/>
        <w:ind w:firstLine="560" w:firstLineChars="200"/>
        <w:rPr>
          <w:rFonts w:ascii="仿宋_GB2312" w:hAnsi="仿宋" w:eastAsia="仿宋_GB2312"/>
          <w:sz w:val="28"/>
          <w:szCs w:val="28"/>
        </w:rPr>
      </w:pPr>
      <w:r>
        <w:rPr>
          <w:rFonts w:hint="eastAsia" w:ascii="仿宋_GB2312" w:hAnsi="仿宋" w:eastAsia="仿宋_GB2312"/>
          <w:sz w:val="28"/>
          <w:szCs w:val="28"/>
        </w:rPr>
        <w:t>除了竞赛工位之外，同时设计了成果展示区、体验区、观摩区。成果展示区主要展示大赛配套教材、资源包等内容；体验区主要展示竞赛设备以及相关新技术、新产品；观摩区主要展示信息安全攻防对战的实时进度。</w:t>
      </w:r>
    </w:p>
    <w:p>
      <w:pPr>
        <w:spacing w:line="560" w:lineRule="atLeast"/>
        <w:rPr>
          <w:rFonts w:ascii="仿宋_GB2312" w:hAnsi="黑体" w:eastAsia="仿宋_GB2312"/>
          <w:b/>
          <w:sz w:val="28"/>
          <w:szCs w:val="28"/>
        </w:rPr>
      </w:pPr>
      <w:r>
        <w:rPr>
          <w:rFonts w:hint="eastAsia" w:ascii="仿宋_GB2312" w:hAnsi="黑体" w:eastAsia="仿宋_GB2312"/>
          <w:b/>
          <w:sz w:val="28"/>
          <w:szCs w:val="28"/>
          <w:lang w:val="en-US" w:eastAsia="zh-CN"/>
        </w:rPr>
        <w:t xml:space="preserve">    </w:t>
      </w:r>
      <w:r>
        <w:rPr>
          <w:rFonts w:hint="eastAsia" w:ascii="仿宋_GB2312" w:hAnsi="黑体" w:eastAsia="仿宋_GB2312"/>
          <w:b/>
          <w:sz w:val="28"/>
          <w:szCs w:val="28"/>
        </w:rPr>
        <w:t>九、技术规范</w:t>
      </w:r>
    </w:p>
    <w:p>
      <w:pPr>
        <w:adjustRightInd w:val="0"/>
        <w:snapToGrid w:val="0"/>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该赛项涉及的信息网络安全工程在设计、组建过程中，主要有以下7项国家标准，参赛队在实施竞赛项目中要求遵循如下规范：</w:t>
      </w:r>
    </w:p>
    <w:tbl>
      <w:tblPr>
        <w:tblStyle w:val="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04"/>
        <w:gridCol w:w="2268"/>
        <w:gridCol w:w="5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9" w:hRule="atLeast"/>
          <w:jc w:val="center"/>
        </w:trPr>
        <w:tc>
          <w:tcPr>
            <w:tcW w:w="704" w:type="dxa"/>
            <w:vAlign w:val="center"/>
          </w:tcPr>
          <w:p>
            <w:pPr>
              <w:widowControl w:val="0"/>
              <w:wordWrap/>
              <w:adjustRightInd w:val="0"/>
              <w:snapToGrid w:val="0"/>
              <w:spacing w:line="240" w:lineRule="auto"/>
              <w:ind w:left="0" w:leftChars="0" w:right="0" w:firstLine="0" w:firstLineChars="0"/>
              <w:jc w:val="center"/>
              <w:textAlignment w:val="auto"/>
              <w:outlineLvl w:val="9"/>
              <w:rPr>
                <w:rFonts w:ascii="仿宋" w:hAnsi="仿宋" w:eastAsia="仿宋"/>
                <w:b/>
                <w:bCs/>
                <w:kern w:val="0"/>
                <w:sz w:val="24"/>
                <w:szCs w:val="24"/>
              </w:rPr>
            </w:pPr>
            <w:r>
              <w:rPr>
                <w:rFonts w:hint="eastAsia" w:ascii="仿宋" w:hAnsi="仿宋" w:eastAsia="仿宋"/>
                <w:b/>
                <w:bCs/>
                <w:kern w:val="0"/>
                <w:sz w:val="24"/>
                <w:szCs w:val="24"/>
              </w:rPr>
              <w:t>序号</w:t>
            </w:r>
          </w:p>
        </w:tc>
        <w:tc>
          <w:tcPr>
            <w:tcW w:w="2268" w:type="dxa"/>
            <w:vAlign w:val="center"/>
          </w:tcPr>
          <w:p>
            <w:pPr>
              <w:widowControl w:val="0"/>
              <w:wordWrap/>
              <w:adjustRightInd w:val="0"/>
              <w:snapToGrid w:val="0"/>
              <w:spacing w:line="240" w:lineRule="auto"/>
              <w:ind w:left="0" w:leftChars="0" w:right="0" w:firstLine="0" w:firstLineChars="0"/>
              <w:jc w:val="center"/>
              <w:textAlignment w:val="auto"/>
              <w:outlineLvl w:val="9"/>
              <w:rPr>
                <w:rFonts w:ascii="仿宋" w:hAnsi="仿宋" w:eastAsia="仿宋"/>
                <w:b/>
                <w:bCs/>
                <w:kern w:val="0"/>
                <w:sz w:val="24"/>
                <w:szCs w:val="24"/>
              </w:rPr>
            </w:pPr>
            <w:r>
              <w:rPr>
                <w:rFonts w:hint="eastAsia" w:ascii="仿宋" w:hAnsi="仿宋" w:eastAsia="仿宋"/>
                <w:b/>
                <w:bCs/>
                <w:kern w:val="0"/>
                <w:sz w:val="24"/>
                <w:szCs w:val="24"/>
              </w:rPr>
              <w:t>标准号</w:t>
            </w:r>
          </w:p>
        </w:tc>
        <w:tc>
          <w:tcPr>
            <w:tcW w:w="5324" w:type="dxa"/>
            <w:vAlign w:val="center"/>
          </w:tcPr>
          <w:p>
            <w:pPr>
              <w:widowControl w:val="0"/>
              <w:wordWrap/>
              <w:adjustRightInd w:val="0"/>
              <w:snapToGrid w:val="0"/>
              <w:spacing w:line="240" w:lineRule="auto"/>
              <w:ind w:left="0" w:leftChars="0" w:right="0" w:firstLine="0" w:firstLineChars="0"/>
              <w:jc w:val="center"/>
              <w:textAlignment w:val="auto"/>
              <w:outlineLvl w:val="9"/>
              <w:rPr>
                <w:rFonts w:ascii="仿宋" w:hAnsi="仿宋" w:eastAsia="仿宋"/>
                <w:b/>
                <w:bCs/>
                <w:kern w:val="0"/>
                <w:sz w:val="24"/>
                <w:szCs w:val="24"/>
              </w:rPr>
            </w:pPr>
            <w:r>
              <w:rPr>
                <w:rFonts w:hint="eastAsia" w:ascii="仿宋" w:hAnsi="仿宋" w:eastAsia="仿宋"/>
                <w:b/>
                <w:bCs/>
                <w:kern w:val="0"/>
                <w:sz w:val="24"/>
                <w:szCs w:val="24"/>
              </w:rPr>
              <w:t>中文标准名称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9" w:hRule="atLeast"/>
          <w:jc w:val="center"/>
        </w:trPr>
        <w:tc>
          <w:tcPr>
            <w:tcW w:w="704" w:type="dxa"/>
            <w:vAlign w:val="center"/>
          </w:tcPr>
          <w:p>
            <w:pPr>
              <w:widowControl w:val="0"/>
              <w:wordWrap/>
              <w:adjustRightInd w:val="0"/>
              <w:snapToGrid w:val="0"/>
              <w:spacing w:line="240" w:lineRule="auto"/>
              <w:ind w:left="0" w:leftChars="0" w:right="0" w:firstLine="0" w:firstLineChars="0"/>
              <w:jc w:val="center"/>
              <w:textAlignment w:val="auto"/>
              <w:outlineLvl w:val="9"/>
              <w:rPr>
                <w:rFonts w:ascii="仿宋" w:hAnsi="仿宋" w:eastAsia="仿宋"/>
                <w:kern w:val="0"/>
                <w:sz w:val="24"/>
                <w:szCs w:val="24"/>
              </w:rPr>
            </w:pPr>
            <w:r>
              <w:rPr>
                <w:rFonts w:ascii="仿宋" w:hAnsi="仿宋" w:eastAsia="仿宋"/>
                <w:kern w:val="0"/>
                <w:sz w:val="24"/>
                <w:szCs w:val="24"/>
              </w:rPr>
              <w:t>1</w:t>
            </w:r>
          </w:p>
        </w:tc>
        <w:tc>
          <w:tcPr>
            <w:tcW w:w="2268" w:type="dxa"/>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kern w:val="0"/>
                <w:sz w:val="24"/>
                <w:szCs w:val="24"/>
              </w:rPr>
            </w:pPr>
            <w:r>
              <w:rPr>
                <w:rFonts w:hint="eastAsia" w:ascii="仿宋" w:hAnsi="仿宋" w:eastAsia="仿宋"/>
                <w:kern w:val="0"/>
                <w:sz w:val="24"/>
                <w:szCs w:val="24"/>
              </w:rPr>
              <w:t>GB 17859-1999</w:t>
            </w:r>
          </w:p>
        </w:tc>
        <w:tc>
          <w:tcPr>
            <w:tcW w:w="5324" w:type="dxa"/>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kern w:val="0"/>
                <w:sz w:val="24"/>
                <w:szCs w:val="24"/>
              </w:rPr>
            </w:pPr>
            <w:r>
              <w:rPr>
                <w:rFonts w:hint="eastAsia" w:ascii="仿宋" w:hAnsi="仿宋" w:eastAsia="仿宋"/>
                <w:kern w:val="0"/>
                <w:sz w:val="24"/>
                <w:szCs w:val="24"/>
              </w:rPr>
              <w:t>《计算机信息系统安全保护等级划分准则》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9" w:hRule="atLeast"/>
          <w:jc w:val="center"/>
        </w:trPr>
        <w:tc>
          <w:tcPr>
            <w:tcW w:w="704" w:type="dxa"/>
            <w:vAlign w:val="center"/>
          </w:tcPr>
          <w:p>
            <w:pPr>
              <w:widowControl w:val="0"/>
              <w:wordWrap/>
              <w:adjustRightInd w:val="0"/>
              <w:snapToGrid w:val="0"/>
              <w:spacing w:line="240" w:lineRule="auto"/>
              <w:ind w:left="0" w:leftChars="0" w:right="0" w:firstLine="0" w:firstLineChars="0"/>
              <w:jc w:val="center"/>
              <w:textAlignment w:val="auto"/>
              <w:outlineLvl w:val="9"/>
              <w:rPr>
                <w:rFonts w:ascii="仿宋" w:hAnsi="仿宋" w:eastAsia="仿宋"/>
                <w:kern w:val="0"/>
                <w:sz w:val="24"/>
                <w:szCs w:val="24"/>
              </w:rPr>
            </w:pPr>
            <w:r>
              <w:rPr>
                <w:rFonts w:ascii="仿宋" w:hAnsi="仿宋" w:eastAsia="仿宋"/>
                <w:kern w:val="0"/>
                <w:sz w:val="24"/>
                <w:szCs w:val="24"/>
              </w:rPr>
              <w:t>2</w:t>
            </w:r>
          </w:p>
        </w:tc>
        <w:tc>
          <w:tcPr>
            <w:tcW w:w="2268" w:type="dxa"/>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kern w:val="0"/>
                <w:sz w:val="24"/>
                <w:szCs w:val="24"/>
              </w:rPr>
            </w:pPr>
            <w:r>
              <w:rPr>
                <w:rFonts w:hint="eastAsia" w:ascii="仿宋" w:hAnsi="仿宋" w:eastAsia="仿宋"/>
                <w:kern w:val="0"/>
                <w:sz w:val="24"/>
                <w:szCs w:val="24"/>
              </w:rPr>
              <w:t>GB/T 20271-2006</w:t>
            </w:r>
          </w:p>
        </w:tc>
        <w:tc>
          <w:tcPr>
            <w:tcW w:w="5324" w:type="dxa"/>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kern w:val="0"/>
                <w:sz w:val="24"/>
                <w:szCs w:val="24"/>
              </w:rPr>
            </w:pPr>
            <w:r>
              <w:rPr>
                <w:rFonts w:hint="eastAsia" w:ascii="仿宋" w:hAnsi="仿宋" w:eastAsia="仿宋"/>
                <w:kern w:val="0"/>
                <w:sz w:val="24"/>
                <w:szCs w:val="24"/>
              </w:rPr>
              <w:t>《信息安全技术信息系统通用安全技术要求》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9" w:hRule="atLeast"/>
          <w:jc w:val="center"/>
        </w:trPr>
        <w:tc>
          <w:tcPr>
            <w:tcW w:w="704" w:type="dxa"/>
            <w:vAlign w:val="center"/>
          </w:tcPr>
          <w:p>
            <w:pPr>
              <w:widowControl w:val="0"/>
              <w:wordWrap/>
              <w:adjustRightInd w:val="0"/>
              <w:snapToGrid w:val="0"/>
              <w:spacing w:line="240" w:lineRule="auto"/>
              <w:ind w:left="0" w:leftChars="0" w:right="0" w:firstLine="0" w:firstLineChars="0"/>
              <w:jc w:val="center"/>
              <w:textAlignment w:val="auto"/>
              <w:outlineLvl w:val="9"/>
              <w:rPr>
                <w:rFonts w:ascii="仿宋" w:hAnsi="仿宋" w:eastAsia="仿宋"/>
                <w:kern w:val="0"/>
                <w:sz w:val="24"/>
                <w:szCs w:val="24"/>
              </w:rPr>
            </w:pPr>
            <w:r>
              <w:rPr>
                <w:rFonts w:ascii="仿宋" w:hAnsi="仿宋" w:eastAsia="仿宋"/>
                <w:kern w:val="0"/>
                <w:sz w:val="24"/>
                <w:szCs w:val="24"/>
              </w:rPr>
              <w:t>3</w:t>
            </w:r>
          </w:p>
        </w:tc>
        <w:tc>
          <w:tcPr>
            <w:tcW w:w="2268" w:type="dxa"/>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kern w:val="0"/>
                <w:sz w:val="24"/>
                <w:szCs w:val="24"/>
              </w:rPr>
            </w:pPr>
            <w:r>
              <w:rPr>
                <w:rFonts w:hint="eastAsia" w:ascii="仿宋" w:hAnsi="仿宋" w:eastAsia="仿宋"/>
                <w:kern w:val="0"/>
                <w:sz w:val="24"/>
                <w:szCs w:val="24"/>
              </w:rPr>
              <w:t>GB/T 20270-2006</w:t>
            </w:r>
          </w:p>
        </w:tc>
        <w:tc>
          <w:tcPr>
            <w:tcW w:w="5324" w:type="dxa"/>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kern w:val="0"/>
                <w:sz w:val="24"/>
                <w:szCs w:val="24"/>
              </w:rPr>
            </w:pPr>
            <w:r>
              <w:rPr>
                <w:rFonts w:hint="eastAsia" w:ascii="仿宋" w:hAnsi="仿宋" w:eastAsia="仿宋"/>
                <w:kern w:val="0"/>
                <w:sz w:val="24"/>
                <w:szCs w:val="24"/>
              </w:rPr>
              <w:t>《信息安全技术网络基础安全技术要求》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9" w:hRule="atLeast"/>
          <w:jc w:val="center"/>
        </w:trPr>
        <w:tc>
          <w:tcPr>
            <w:tcW w:w="704" w:type="dxa"/>
            <w:vAlign w:val="center"/>
          </w:tcPr>
          <w:p>
            <w:pPr>
              <w:widowControl w:val="0"/>
              <w:wordWrap/>
              <w:adjustRightInd w:val="0"/>
              <w:snapToGrid w:val="0"/>
              <w:spacing w:line="240" w:lineRule="auto"/>
              <w:ind w:left="0" w:leftChars="0" w:right="0" w:firstLine="0" w:firstLineChars="0"/>
              <w:jc w:val="center"/>
              <w:textAlignment w:val="auto"/>
              <w:outlineLvl w:val="9"/>
              <w:rPr>
                <w:rFonts w:ascii="仿宋" w:hAnsi="仿宋" w:eastAsia="仿宋"/>
                <w:kern w:val="0"/>
                <w:sz w:val="24"/>
                <w:szCs w:val="24"/>
              </w:rPr>
            </w:pPr>
            <w:r>
              <w:rPr>
                <w:rFonts w:ascii="仿宋" w:hAnsi="仿宋" w:eastAsia="仿宋"/>
                <w:kern w:val="0"/>
                <w:sz w:val="24"/>
                <w:szCs w:val="24"/>
              </w:rPr>
              <w:t>4</w:t>
            </w:r>
          </w:p>
        </w:tc>
        <w:tc>
          <w:tcPr>
            <w:tcW w:w="2268" w:type="dxa"/>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kern w:val="0"/>
                <w:sz w:val="24"/>
                <w:szCs w:val="24"/>
              </w:rPr>
            </w:pPr>
            <w:r>
              <w:rPr>
                <w:rFonts w:hint="eastAsia" w:ascii="仿宋" w:hAnsi="仿宋" w:eastAsia="仿宋"/>
                <w:kern w:val="0"/>
                <w:sz w:val="24"/>
                <w:szCs w:val="24"/>
              </w:rPr>
              <w:t>GB/T 20272-2006</w:t>
            </w:r>
          </w:p>
        </w:tc>
        <w:tc>
          <w:tcPr>
            <w:tcW w:w="5324" w:type="dxa"/>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kern w:val="0"/>
                <w:sz w:val="24"/>
                <w:szCs w:val="24"/>
              </w:rPr>
            </w:pPr>
            <w:r>
              <w:rPr>
                <w:rFonts w:hint="eastAsia" w:ascii="仿宋" w:hAnsi="仿宋" w:eastAsia="仿宋"/>
                <w:kern w:val="0"/>
                <w:sz w:val="24"/>
                <w:szCs w:val="24"/>
              </w:rPr>
              <w:t>《信息安全技术操作系统安全技术要求》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9" w:hRule="atLeast"/>
          <w:jc w:val="center"/>
        </w:trPr>
        <w:tc>
          <w:tcPr>
            <w:tcW w:w="704" w:type="dxa"/>
            <w:vAlign w:val="center"/>
          </w:tcPr>
          <w:p>
            <w:pPr>
              <w:widowControl w:val="0"/>
              <w:wordWrap/>
              <w:adjustRightInd w:val="0"/>
              <w:snapToGrid w:val="0"/>
              <w:spacing w:line="240" w:lineRule="auto"/>
              <w:ind w:left="0" w:leftChars="0" w:right="0" w:firstLine="0" w:firstLineChars="0"/>
              <w:jc w:val="center"/>
              <w:textAlignment w:val="auto"/>
              <w:outlineLvl w:val="9"/>
              <w:rPr>
                <w:rFonts w:ascii="仿宋" w:hAnsi="仿宋" w:eastAsia="仿宋"/>
                <w:kern w:val="0"/>
                <w:sz w:val="24"/>
                <w:szCs w:val="24"/>
              </w:rPr>
            </w:pPr>
            <w:r>
              <w:rPr>
                <w:rFonts w:ascii="仿宋" w:hAnsi="仿宋" w:eastAsia="仿宋"/>
                <w:kern w:val="0"/>
                <w:sz w:val="24"/>
                <w:szCs w:val="24"/>
              </w:rPr>
              <w:t>5</w:t>
            </w:r>
          </w:p>
        </w:tc>
        <w:tc>
          <w:tcPr>
            <w:tcW w:w="2268" w:type="dxa"/>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kern w:val="0"/>
                <w:sz w:val="24"/>
                <w:szCs w:val="24"/>
              </w:rPr>
            </w:pPr>
            <w:r>
              <w:rPr>
                <w:rFonts w:hint="eastAsia" w:ascii="仿宋" w:hAnsi="仿宋" w:eastAsia="仿宋"/>
                <w:kern w:val="0"/>
                <w:sz w:val="24"/>
                <w:szCs w:val="24"/>
              </w:rPr>
              <w:t>GB/T 20273-2006</w:t>
            </w:r>
          </w:p>
        </w:tc>
        <w:tc>
          <w:tcPr>
            <w:tcW w:w="5324" w:type="dxa"/>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kern w:val="0"/>
                <w:sz w:val="24"/>
                <w:szCs w:val="24"/>
              </w:rPr>
            </w:pPr>
            <w:r>
              <w:rPr>
                <w:rFonts w:hint="eastAsia" w:ascii="仿宋" w:hAnsi="仿宋" w:eastAsia="仿宋"/>
                <w:kern w:val="0"/>
                <w:sz w:val="24"/>
                <w:szCs w:val="24"/>
              </w:rPr>
              <w:t>《信息安全技术数据库管理系统安全技术要求》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9" w:hRule="atLeast"/>
          <w:jc w:val="center"/>
        </w:trPr>
        <w:tc>
          <w:tcPr>
            <w:tcW w:w="704" w:type="dxa"/>
            <w:vAlign w:val="center"/>
          </w:tcPr>
          <w:p>
            <w:pPr>
              <w:widowControl w:val="0"/>
              <w:wordWrap/>
              <w:adjustRightInd w:val="0"/>
              <w:snapToGrid w:val="0"/>
              <w:spacing w:line="240" w:lineRule="auto"/>
              <w:ind w:left="0" w:leftChars="0" w:right="0" w:firstLine="0" w:firstLineChars="0"/>
              <w:jc w:val="center"/>
              <w:textAlignment w:val="auto"/>
              <w:outlineLvl w:val="9"/>
              <w:rPr>
                <w:rFonts w:ascii="仿宋" w:hAnsi="仿宋" w:eastAsia="仿宋"/>
                <w:kern w:val="0"/>
                <w:sz w:val="24"/>
                <w:szCs w:val="24"/>
              </w:rPr>
            </w:pPr>
            <w:r>
              <w:rPr>
                <w:rFonts w:hint="eastAsia" w:ascii="仿宋" w:hAnsi="仿宋" w:eastAsia="仿宋"/>
                <w:kern w:val="0"/>
                <w:sz w:val="24"/>
                <w:szCs w:val="24"/>
              </w:rPr>
              <w:t>6</w:t>
            </w:r>
          </w:p>
        </w:tc>
        <w:tc>
          <w:tcPr>
            <w:tcW w:w="2268" w:type="dxa"/>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kern w:val="0"/>
                <w:sz w:val="24"/>
                <w:szCs w:val="24"/>
              </w:rPr>
            </w:pPr>
            <w:r>
              <w:rPr>
                <w:rFonts w:hint="eastAsia" w:ascii="仿宋" w:hAnsi="仿宋" w:eastAsia="仿宋"/>
                <w:kern w:val="0"/>
                <w:sz w:val="24"/>
                <w:szCs w:val="24"/>
              </w:rPr>
              <w:t>GA/T 671-2006</w:t>
            </w:r>
          </w:p>
        </w:tc>
        <w:tc>
          <w:tcPr>
            <w:tcW w:w="5324" w:type="dxa"/>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kern w:val="0"/>
                <w:sz w:val="24"/>
                <w:szCs w:val="24"/>
              </w:rPr>
            </w:pPr>
            <w:r>
              <w:rPr>
                <w:rFonts w:hint="eastAsia" w:ascii="仿宋" w:hAnsi="仿宋" w:eastAsia="仿宋"/>
                <w:kern w:val="0"/>
                <w:sz w:val="24"/>
                <w:szCs w:val="24"/>
              </w:rPr>
              <w:t>《信息安全技术终端计算机系统安全等级技术要求》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9" w:hRule="atLeast"/>
          <w:jc w:val="center"/>
        </w:trPr>
        <w:tc>
          <w:tcPr>
            <w:tcW w:w="704" w:type="dxa"/>
            <w:vAlign w:val="center"/>
          </w:tcPr>
          <w:p>
            <w:pPr>
              <w:widowControl w:val="0"/>
              <w:wordWrap/>
              <w:adjustRightInd w:val="0"/>
              <w:snapToGrid w:val="0"/>
              <w:spacing w:line="240" w:lineRule="auto"/>
              <w:ind w:left="0" w:leftChars="0" w:right="0" w:firstLine="0" w:firstLineChars="0"/>
              <w:jc w:val="center"/>
              <w:textAlignment w:val="auto"/>
              <w:outlineLvl w:val="9"/>
              <w:rPr>
                <w:rFonts w:ascii="仿宋" w:hAnsi="仿宋" w:eastAsia="仿宋"/>
                <w:kern w:val="0"/>
                <w:sz w:val="24"/>
                <w:szCs w:val="24"/>
              </w:rPr>
            </w:pPr>
            <w:r>
              <w:rPr>
                <w:rFonts w:hint="eastAsia" w:ascii="仿宋" w:hAnsi="仿宋" w:eastAsia="仿宋"/>
                <w:kern w:val="0"/>
                <w:sz w:val="24"/>
                <w:szCs w:val="24"/>
              </w:rPr>
              <w:t>7</w:t>
            </w:r>
          </w:p>
        </w:tc>
        <w:tc>
          <w:tcPr>
            <w:tcW w:w="2268" w:type="dxa"/>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kern w:val="0"/>
                <w:sz w:val="24"/>
                <w:szCs w:val="24"/>
              </w:rPr>
            </w:pPr>
            <w:r>
              <w:rPr>
                <w:rFonts w:hint="eastAsia" w:ascii="仿宋" w:hAnsi="仿宋" w:eastAsia="仿宋"/>
                <w:kern w:val="0"/>
                <w:sz w:val="24"/>
                <w:szCs w:val="24"/>
              </w:rPr>
              <w:t>GB/T 20269-2006</w:t>
            </w:r>
          </w:p>
        </w:tc>
        <w:tc>
          <w:tcPr>
            <w:tcW w:w="5324" w:type="dxa"/>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kern w:val="0"/>
                <w:sz w:val="24"/>
                <w:szCs w:val="24"/>
              </w:rPr>
            </w:pPr>
            <w:r>
              <w:rPr>
                <w:rFonts w:hint="eastAsia" w:ascii="仿宋" w:hAnsi="仿宋" w:eastAsia="仿宋"/>
                <w:kern w:val="0"/>
                <w:sz w:val="24"/>
                <w:szCs w:val="24"/>
              </w:rPr>
              <w:t>《信息安全技术信息系统安全管理要求》</w:t>
            </w:r>
          </w:p>
        </w:tc>
      </w:tr>
    </w:tbl>
    <w:p>
      <w:pPr>
        <w:spacing w:line="560" w:lineRule="atLeast"/>
        <w:rPr>
          <w:rFonts w:ascii="仿宋_GB2312" w:hAnsi="黑体" w:eastAsia="仿宋_GB2312"/>
          <w:b/>
          <w:sz w:val="28"/>
          <w:szCs w:val="28"/>
        </w:rPr>
      </w:pPr>
      <w:r>
        <w:rPr>
          <w:rFonts w:hint="eastAsia" w:ascii="仿宋_GB2312" w:hAnsi="黑体" w:eastAsia="仿宋_GB2312"/>
          <w:b/>
          <w:sz w:val="28"/>
          <w:szCs w:val="28"/>
          <w:lang w:val="en-US" w:eastAsia="zh-CN"/>
        </w:rPr>
        <w:t xml:space="preserve">    </w:t>
      </w:r>
      <w:r>
        <w:rPr>
          <w:rFonts w:hint="eastAsia" w:ascii="仿宋_GB2312" w:hAnsi="黑体" w:eastAsia="仿宋_GB2312"/>
          <w:b/>
          <w:sz w:val="28"/>
          <w:szCs w:val="28"/>
        </w:rPr>
        <w:t>十、技术平台</w:t>
      </w:r>
    </w:p>
    <w:p>
      <w:pPr>
        <w:adjustRightInd w:val="0"/>
        <w:snapToGrid w:val="0"/>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（一）竞赛软件</w:t>
      </w:r>
    </w:p>
    <w:p>
      <w:pPr>
        <w:adjustRightInd w:val="0"/>
        <w:snapToGrid w:val="0"/>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竞赛组委会提供个人计算机（安装Windows操作系统），用以组建局域网和广域网，并安装Office等常用应用软件。</w:t>
      </w:r>
    </w:p>
    <w:tbl>
      <w:tblPr>
        <w:tblStyle w:val="9"/>
        <w:tblW w:w="83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78"/>
        <w:gridCol w:w="4204"/>
        <w:gridCol w:w="3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val="0"/>
              <w:wordWrap/>
              <w:adjustRightInd w:val="0"/>
              <w:snapToGrid w:val="0"/>
              <w:spacing w:line="240" w:lineRule="auto"/>
              <w:ind w:left="0" w:leftChars="0" w:right="0" w:firstLine="0" w:firstLineChars="0"/>
              <w:jc w:val="center"/>
              <w:textAlignment w:val="auto"/>
              <w:outlineLvl w:val="9"/>
              <w:rPr>
                <w:rFonts w:ascii="仿宋" w:hAnsi="仿宋" w:eastAsia="仿宋" w:cs="宋体"/>
                <w:b/>
                <w:bCs/>
                <w:kern w:val="0"/>
                <w:sz w:val="24"/>
              </w:rPr>
            </w:pPr>
            <w:r>
              <w:rPr>
                <w:rFonts w:hint="eastAsia" w:ascii="仿宋" w:hAnsi="仿宋" w:eastAsia="仿宋" w:cs="宋体"/>
                <w:b/>
                <w:bCs/>
                <w:kern w:val="0"/>
                <w:sz w:val="24"/>
              </w:rPr>
              <w:t>序号</w:t>
            </w:r>
          </w:p>
        </w:tc>
        <w:tc>
          <w:tcPr>
            <w:tcW w:w="4204" w:type="dxa"/>
            <w:tcBorders>
              <w:top w:val="single" w:color="auto" w:sz="4" w:space="0"/>
              <w:left w:val="nil"/>
              <w:bottom w:val="single" w:color="auto" w:sz="4" w:space="0"/>
              <w:right w:val="single" w:color="auto" w:sz="4" w:space="0"/>
            </w:tcBorders>
            <w:shd w:val="clear" w:color="000000" w:fill="auto"/>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cs="宋体"/>
                <w:b/>
                <w:bCs/>
                <w:kern w:val="0"/>
                <w:sz w:val="24"/>
              </w:rPr>
            </w:pPr>
            <w:r>
              <w:rPr>
                <w:rFonts w:hint="eastAsia" w:ascii="仿宋" w:hAnsi="仿宋" w:eastAsia="仿宋" w:cs="宋体"/>
                <w:b/>
                <w:bCs/>
                <w:kern w:val="0"/>
                <w:sz w:val="24"/>
              </w:rPr>
              <w:t>软件</w:t>
            </w:r>
          </w:p>
        </w:tc>
        <w:tc>
          <w:tcPr>
            <w:tcW w:w="3260" w:type="dxa"/>
            <w:tcBorders>
              <w:top w:val="single" w:color="auto" w:sz="4" w:space="0"/>
              <w:left w:val="nil"/>
              <w:bottom w:val="single" w:color="auto" w:sz="4" w:space="0"/>
              <w:right w:val="single" w:color="auto" w:sz="4" w:space="0"/>
            </w:tcBorders>
            <w:shd w:val="clear" w:color="000000" w:fill="auto"/>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cs="宋体"/>
                <w:b/>
                <w:bCs/>
                <w:kern w:val="0"/>
                <w:sz w:val="24"/>
              </w:rPr>
            </w:pPr>
            <w:r>
              <w:rPr>
                <w:rFonts w:hint="eastAsia" w:ascii="仿宋" w:hAnsi="仿宋" w:eastAsia="仿宋" w:cs="宋体"/>
                <w:b/>
                <w:bCs/>
                <w:kern w:val="0"/>
                <w:sz w:val="24"/>
              </w:rPr>
              <w:t>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 w:hAnsi="仿宋" w:eastAsia="仿宋" w:cs="宋体"/>
                <w:kern w:val="0"/>
                <w:sz w:val="24"/>
              </w:rPr>
            </w:pPr>
            <w:r>
              <w:rPr>
                <w:rFonts w:hint="eastAsia" w:ascii="仿宋" w:hAnsi="仿宋" w:eastAsia="仿宋" w:cs="宋体"/>
                <w:kern w:val="0"/>
                <w:sz w:val="24"/>
              </w:rPr>
              <w:t>1</w:t>
            </w:r>
          </w:p>
        </w:tc>
        <w:tc>
          <w:tcPr>
            <w:tcW w:w="4204"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cs="宋体"/>
                <w:kern w:val="0"/>
                <w:sz w:val="24"/>
              </w:rPr>
            </w:pPr>
            <w:r>
              <w:rPr>
                <w:rFonts w:hint="eastAsia" w:ascii="仿宋" w:hAnsi="仿宋" w:eastAsia="仿宋" w:cs="宋体"/>
                <w:kern w:val="0"/>
                <w:sz w:val="24"/>
              </w:rPr>
              <w:t>Windows</w:t>
            </w:r>
          </w:p>
        </w:tc>
        <w:tc>
          <w:tcPr>
            <w:tcW w:w="3260"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cs="宋体"/>
                <w:kern w:val="0"/>
                <w:sz w:val="24"/>
              </w:rPr>
            </w:pPr>
            <w:r>
              <w:rPr>
                <w:rFonts w:hint="eastAsia" w:ascii="仿宋" w:hAnsi="仿宋" w:eastAsia="仿宋" w:cs="宋体"/>
                <w:kern w:val="0"/>
                <w:sz w:val="24"/>
              </w:rPr>
              <w:t>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 w:hAnsi="仿宋" w:eastAsia="仿宋" w:cs="宋体"/>
                <w:kern w:val="0"/>
                <w:sz w:val="24"/>
              </w:rPr>
            </w:pPr>
            <w:r>
              <w:rPr>
                <w:rFonts w:hint="eastAsia" w:ascii="仿宋" w:hAnsi="仿宋" w:eastAsia="仿宋" w:cs="宋体"/>
                <w:kern w:val="0"/>
                <w:sz w:val="24"/>
              </w:rPr>
              <w:t>2</w:t>
            </w:r>
          </w:p>
        </w:tc>
        <w:tc>
          <w:tcPr>
            <w:tcW w:w="4204"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cs="宋体"/>
                <w:kern w:val="0"/>
                <w:sz w:val="24"/>
              </w:rPr>
            </w:pPr>
            <w:r>
              <w:rPr>
                <w:rFonts w:hint="eastAsia" w:ascii="仿宋" w:hAnsi="仿宋" w:eastAsia="仿宋" w:cs="宋体"/>
                <w:kern w:val="0"/>
                <w:sz w:val="24"/>
              </w:rPr>
              <w:t>Microsoft Office</w:t>
            </w:r>
          </w:p>
        </w:tc>
        <w:tc>
          <w:tcPr>
            <w:tcW w:w="3260"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cs="宋体"/>
                <w:kern w:val="0"/>
                <w:sz w:val="24"/>
              </w:rPr>
            </w:pPr>
            <w:r>
              <w:rPr>
                <w:rFonts w:hint="eastAsia" w:ascii="仿宋" w:hAnsi="仿宋" w:eastAsia="仿宋" w:cs="宋体"/>
                <w:kern w:val="0"/>
                <w:sz w:val="24"/>
              </w:rPr>
              <w:t>文档编辑工具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 w:hAnsi="仿宋" w:eastAsia="仿宋" w:cs="宋体"/>
                <w:kern w:val="0"/>
                <w:sz w:val="24"/>
              </w:rPr>
            </w:pPr>
            <w:r>
              <w:rPr>
                <w:rFonts w:hint="eastAsia" w:ascii="仿宋" w:hAnsi="仿宋" w:eastAsia="仿宋" w:cs="宋体"/>
                <w:kern w:val="0"/>
                <w:sz w:val="24"/>
              </w:rPr>
              <w:t>3</w:t>
            </w:r>
          </w:p>
        </w:tc>
        <w:tc>
          <w:tcPr>
            <w:tcW w:w="4204"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cs="宋体"/>
                <w:kern w:val="0"/>
                <w:sz w:val="24"/>
              </w:rPr>
            </w:pPr>
            <w:r>
              <w:rPr>
                <w:rFonts w:hint="eastAsia" w:ascii="仿宋" w:hAnsi="仿宋" w:eastAsia="仿宋" w:cs="宋体"/>
                <w:kern w:val="0"/>
                <w:sz w:val="24"/>
              </w:rPr>
              <w:t>TFTP服务器</w:t>
            </w:r>
          </w:p>
        </w:tc>
        <w:tc>
          <w:tcPr>
            <w:tcW w:w="3260"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cs="宋体"/>
                <w:kern w:val="0"/>
                <w:sz w:val="24"/>
              </w:rPr>
            </w:pPr>
            <w:r>
              <w:rPr>
                <w:rFonts w:hint="eastAsia" w:ascii="仿宋" w:hAnsi="仿宋" w:eastAsia="仿宋" w:cs="宋体"/>
                <w:kern w:val="0"/>
                <w:sz w:val="24"/>
              </w:rPr>
              <w:t>设备配置文件上传、下载工具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 w:hAnsi="仿宋" w:eastAsia="仿宋" w:cs="宋体"/>
                <w:kern w:val="0"/>
                <w:sz w:val="24"/>
              </w:rPr>
            </w:pPr>
            <w:r>
              <w:rPr>
                <w:rFonts w:hint="eastAsia" w:ascii="仿宋" w:hAnsi="仿宋" w:eastAsia="仿宋" w:cs="宋体"/>
                <w:kern w:val="0"/>
                <w:sz w:val="24"/>
              </w:rPr>
              <w:t>4</w:t>
            </w:r>
          </w:p>
        </w:tc>
        <w:tc>
          <w:tcPr>
            <w:tcW w:w="4204"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cs="宋体"/>
                <w:kern w:val="0"/>
                <w:sz w:val="24"/>
              </w:rPr>
            </w:pPr>
            <w:r>
              <w:rPr>
                <w:rFonts w:hint="eastAsia" w:ascii="仿宋" w:hAnsi="仿宋" w:eastAsia="仿宋" w:cs="宋体"/>
                <w:kern w:val="0"/>
                <w:sz w:val="24"/>
              </w:rPr>
              <w:t>超级终端</w:t>
            </w:r>
          </w:p>
        </w:tc>
        <w:tc>
          <w:tcPr>
            <w:tcW w:w="3260"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cs="宋体"/>
                <w:kern w:val="0"/>
                <w:sz w:val="24"/>
              </w:rPr>
            </w:pPr>
            <w:r>
              <w:rPr>
                <w:rFonts w:hint="eastAsia" w:ascii="仿宋" w:hAnsi="仿宋" w:eastAsia="仿宋" w:cs="宋体"/>
                <w:kern w:val="0"/>
                <w:sz w:val="24"/>
              </w:rPr>
              <w:t>设备调试连接工具</w:t>
            </w:r>
          </w:p>
        </w:tc>
      </w:tr>
    </w:tbl>
    <w:p>
      <w:pPr>
        <w:adjustRightInd w:val="0"/>
        <w:snapToGrid w:val="0"/>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竞赛组委会提供服务器环境，按照大赛要求提供网络服务。</w:t>
      </w:r>
    </w:p>
    <w:tbl>
      <w:tblPr>
        <w:tblStyle w:val="9"/>
        <w:tblW w:w="83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78"/>
        <w:gridCol w:w="4204"/>
        <w:gridCol w:w="3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val="0"/>
              <w:wordWrap/>
              <w:adjustRightInd w:val="0"/>
              <w:snapToGrid w:val="0"/>
              <w:spacing w:line="240" w:lineRule="auto"/>
              <w:ind w:left="0" w:leftChars="0" w:right="0" w:firstLine="0" w:firstLineChars="0"/>
              <w:jc w:val="center"/>
              <w:textAlignment w:val="auto"/>
              <w:outlineLvl w:val="9"/>
              <w:rPr>
                <w:rFonts w:ascii="仿宋" w:hAnsi="仿宋" w:eastAsia="仿宋" w:cs="宋体"/>
                <w:b/>
                <w:bCs/>
                <w:kern w:val="0"/>
                <w:sz w:val="24"/>
              </w:rPr>
            </w:pPr>
            <w:r>
              <w:rPr>
                <w:rFonts w:hint="eastAsia" w:ascii="仿宋" w:hAnsi="仿宋" w:eastAsia="仿宋" w:cs="宋体"/>
                <w:b/>
                <w:bCs/>
                <w:kern w:val="0"/>
                <w:sz w:val="24"/>
              </w:rPr>
              <w:t>序号</w:t>
            </w:r>
          </w:p>
        </w:tc>
        <w:tc>
          <w:tcPr>
            <w:tcW w:w="4204" w:type="dxa"/>
            <w:tcBorders>
              <w:top w:val="single" w:color="auto" w:sz="4" w:space="0"/>
              <w:left w:val="nil"/>
              <w:bottom w:val="single" w:color="auto" w:sz="4" w:space="0"/>
              <w:right w:val="single" w:color="auto" w:sz="4" w:space="0"/>
            </w:tcBorders>
            <w:shd w:val="clear" w:color="000000" w:fill="auto"/>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cs="宋体"/>
                <w:b/>
                <w:bCs/>
                <w:kern w:val="0"/>
                <w:sz w:val="24"/>
              </w:rPr>
            </w:pPr>
            <w:r>
              <w:rPr>
                <w:rFonts w:hint="eastAsia" w:ascii="仿宋" w:hAnsi="仿宋" w:eastAsia="仿宋" w:cs="宋体"/>
                <w:b/>
                <w:bCs/>
                <w:kern w:val="0"/>
                <w:sz w:val="24"/>
              </w:rPr>
              <w:t>软件</w:t>
            </w:r>
          </w:p>
        </w:tc>
        <w:tc>
          <w:tcPr>
            <w:tcW w:w="3277" w:type="dxa"/>
            <w:tcBorders>
              <w:top w:val="single" w:color="auto" w:sz="4" w:space="0"/>
              <w:left w:val="nil"/>
              <w:bottom w:val="single" w:color="auto" w:sz="4" w:space="0"/>
              <w:right w:val="single" w:color="auto" w:sz="4" w:space="0"/>
            </w:tcBorders>
            <w:shd w:val="clear" w:color="000000" w:fill="auto"/>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cs="宋体"/>
                <w:b/>
                <w:bCs/>
                <w:kern w:val="0"/>
                <w:sz w:val="24"/>
              </w:rPr>
            </w:pPr>
            <w:r>
              <w:rPr>
                <w:rFonts w:hint="eastAsia" w:ascii="仿宋" w:hAnsi="仿宋" w:eastAsia="仿宋" w:cs="宋体"/>
                <w:b/>
                <w:bCs/>
                <w:kern w:val="0"/>
                <w:sz w:val="24"/>
              </w:rPr>
              <w:t>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val="0"/>
              <w:wordWrap/>
              <w:adjustRightInd w:val="0"/>
              <w:snapToGrid w:val="0"/>
              <w:spacing w:line="240" w:lineRule="auto"/>
              <w:ind w:left="0" w:leftChars="0" w:right="0" w:firstLine="0" w:firstLineChars="0"/>
              <w:jc w:val="center"/>
              <w:textAlignment w:val="auto"/>
              <w:outlineLvl w:val="9"/>
              <w:rPr>
                <w:rFonts w:ascii="仿宋" w:hAnsi="仿宋" w:eastAsia="仿宋" w:cs="宋体"/>
                <w:bCs/>
                <w:kern w:val="0"/>
                <w:sz w:val="24"/>
              </w:rPr>
            </w:pPr>
            <w:r>
              <w:rPr>
                <w:rFonts w:hint="eastAsia" w:ascii="仿宋" w:hAnsi="仿宋" w:eastAsia="仿宋" w:cs="宋体"/>
                <w:bCs/>
                <w:kern w:val="0"/>
                <w:sz w:val="24"/>
              </w:rPr>
              <w:t>1</w:t>
            </w:r>
          </w:p>
        </w:tc>
        <w:tc>
          <w:tcPr>
            <w:tcW w:w="4204" w:type="dxa"/>
            <w:tcBorders>
              <w:top w:val="single" w:color="auto" w:sz="4" w:space="0"/>
              <w:left w:val="nil"/>
              <w:bottom w:val="single" w:color="auto" w:sz="4" w:space="0"/>
              <w:right w:val="single" w:color="auto" w:sz="4" w:space="0"/>
            </w:tcBorders>
            <w:shd w:val="clear" w:color="000000" w:fill="auto"/>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cs="宋体"/>
                <w:bCs/>
                <w:kern w:val="0"/>
                <w:sz w:val="24"/>
              </w:rPr>
            </w:pPr>
            <w:r>
              <w:rPr>
                <w:rFonts w:ascii="仿宋" w:hAnsi="仿宋" w:eastAsia="仿宋" w:cs="宋体"/>
                <w:bCs/>
                <w:kern w:val="0"/>
                <w:sz w:val="24"/>
              </w:rPr>
              <w:t>W</w:t>
            </w:r>
            <w:r>
              <w:rPr>
                <w:rFonts w:hint="eastAsia" w:ascii="仿宋" w:hAnsi="仿宋" w:eastAsia="仿宋" w:cs="宋体"/>
                <w:bCs/>
                <w:kern w:val="0"/>
                <w:sz w:val="24"/>
              </w:rPr>
              <w:t>indows</w:t>
            </w:r>
            <w:r>
              <w:rPr>
                <w:rFonts w:ascii="仿宋" w:hAnsi="仿宋" w:eastAsia="仿宋" w:cs="宋体"/>
                <w:bCs/>
                <w:kern w:val="0"/>
                <w:sz w:val="24"/>
              </w:rPr>
              <w:t xml:space="preserve"> 7</w:t>
            </w:r>
          </w:p>
        </w:tc>
        <w:tc>
          <w:tcPr>
            <w:tcW w:w="3277" w:type="dxa"/>
            <w:tcBorders>
              <w:top w:val="single" w:color="auto" w:sz="4" w:space="0"/>
              <w:left w:val="nil"/>
              <w:bottom w:val="single" w:color="auto" w:sz="4" w:space="0"/>
              <w:right w:val="single" w:color="auto" w:sz="4" w:space="0"/>
            </w:tcBorders>
            <w:shd w:val="clear" w:color="000000" w:fill="auto"/>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cs="宋体"/>
                <w:b/>
                <w:bCs/>
                <w:kern w:val="0"/>
                <w:sz w:val="24"/>
              </w:rPr>
            </w:pPr>
            <w:r>
              <w:rPr>
                <w:rFonts w:hint="eastAsia" w:ascii="仿宋" w:hAnsi="仿宋" w:eastAsia="仿宋" w:cs="宋体"/>
                <w:kern w:val="0"/>
                <w:sz w:val="24"/>
              </w:rPr>
              <w:t>服务器操作系统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 w:hAnsi="仿宋" w:eastAsia="仿宋" w:cs="宋体"/>
                <w:kern w:val="0"/>
                <w:sz w:val="24"/>
              </w:rPr>
            </w:pPr>
            <w:r>
              <w:rPr>
                <w:rFonts w:ascii="仿宋" w:hAnsi="仿宋" w:eastAsia="仿宋" w:cs="宋体"/>
                <w:kern w:val="0"/>
                <w:sz w:val="24"/>
              </w:rPr>
              <w:t>2</w:t>
            </w:r>
          </w:p>
        </w:tc>
        <w:tc>
          <w:tcPr>
            <w:tcW w:w="4204"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cs="宋体"/>
                <w:kern w:val="0"/>
                <w:sz w:val="24"/>
              </w:rPr>
            </w:pPr>
            <w:r>
              <w:rPr>
                <w:rFonts w:hint="eastAsia" w:ascii="仿宋" w:hAnsi="仿宋" w:eastAsia="仿宋" w:cs="宋体"/>
                <w:kern w:val="0"/>
                <w:sz w:val="24"/>
              </w:rPr>
              <w:t>Windows Server 2003</w:t>
            </w:r>
          </w:p>
        </w:tc>
        <w:tc>
          <w:tcPr>
            <w:tcW w:w="3277"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cs="宋体"/>
                <w:kern w:val="0"/>
                <w:sz w:val="24"/>
              </w:rPr>
            </w:pPr>
            <w:r>
              <w:rPr>
                <w:rFonts w:hint="eastAsia" w:ascii="仿宋" w:hAnsi="仿宋" w:eastAsia="仿宋" w:cs="宋体"/>
                <w:kern w:val="0"/>
                <w:sz w:val="24"/>
              </w:rPr>
              <w:t>服务器操作系统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 w:hAnsi="仿宋" w:eastAsia="仿宋" w:cs="宋体"/>
                <w:kern w:val="0"/>
                <w:sz w:val="24"/>
              </w:rPr>
            </w:pPr>
            <w:r>
              <w:rPr>
                <w:rFonts w:ascii="仿宋" w:hAnsi="仿宋" w:eastAsia="仿宋" w:cs="宋体"/>
                <w:kern w:val="0"/>
                <w:sz w:val="24"/>
              </w:rPr>
              <w:t>3</w:t>
            </w:r>
          </w:p>
        </w:tc>
        <w:tc>
          <w:tcPr>
            <w:tcW w:w="4204"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cs="宋体"/>
                <w:kern w:val="0"/>
                <w:sz w:val="24"/>
              </w:rPr>
            </w:pPr>
            <w:r>
              <w:rPr>
                <w:rFonts w:hint="eastAsia" w:ascii="仿宋" w:hAnsi="仿宋" w:eastAsia="仿宋" w:cs="宋体"/>
                <w:kern w:val="0"/>
                <w:sz w:val="24"/>
              </w:rPr>
              <w:t>Windows Server 2008</w:t>
            </w:r>
          </w:p>
        </w:tc>
        <w:tc>
          <w:tcPr>
            <w:tcW w:w="3277"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cs="宋体"/>
                <w:kern w:val="0"/>
                <w:sz w:val="24"/>
              </w:rPr>
            </w:pPr>
            <w:r>
              <w:rPr>
                <w:rFonts w:hint="eastAsia" w:ascii="仿宋" w:hAnsi="仿宋" w:eastAsia="仿宋" w:cs="宋体"/>
                <w:kern w:val="0"/>
                <w:sz w:val="24"/>
              </w:rPr>
              <w:t>服务器操作系统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 w:hAnsi="仿宋" w:eastAsia="仿宋" w:cs="宋体"/>
                <w:kern w:val="0"/>
                <w:sz w:val="24"/>
              </w:rPr>
            </w:pPr>
            <w:r>
              <w:rPr>
                <w:rFonts w:ascii="仿宋" w:hAnsi="仿宋" w:eastAsia="仿宋" w:cs="宋体"/>
                <w:kern w:val="0"/>
                <w:sz w:val="24"/>
              </w:rPr>
              <w:t>4</w:t>
            </w:r>
          </w:p>
        </w:tc>
        <w:tc>
          <w:tcPr>
            <w:tcW w:w="4204"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cs="宋体"/>
                <w:kern w:val="0"/>
                <w:sz w:val="24"/>
              </w:rPr>
            </w:pPr>
            <w:r>
              <w:rPr>
                <w:rFonts w:ascii="仿宋" w:hAnsi="仿宋" w:eastAsia="仿宋" w:cs="宋体"/>
                <w:kern w:val="0"/>
                <w:sz w:val="24"/>
              </w:rPr>
              <w:t>L</w:t>
            </w:r>
            <w:r>
              <w:rPr>
                <w:rFonts w:hint="eastAsia" w:ascii="仿宋" w:hAnsi="仿宋" w:eastAsia="仿宋" w:cs="宋体"/>
                <w:kern w:val="0"/>
                <w:sz w:val="24"/>
              </w:rPr>
              <w:t>inux AS4</w:t>
            </w:r>
          </w:p>
        </w:tc>
        <w:tc>
          <w:tcPr>
            <w:tcW w:w="3277"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cs="宋体"/>
                <w:kern w:val="0"/>
                <w:sz w:val="24"/>
              </w:rPr>
            </w:pPr>
            <w:r>
              <w:rPr>
                <w:rFonts w:hint="eastAsia" w:ascii="仿宋" w:hAnsi="仿宋" w:eastAsia="仿宋" w:cs="宋体"/>
                <w:kern w:val="0"/>
                <w:sz w:val="24"/>
              </w:rPr>
              <w:t>服务器操作系统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 w:hAnsi="仿宋" w:eastAsia="仿宋" w:cs="宋体"/>
                <w:kern w:val="0"/>
                <w:sz w:val="24"/>
              </w:rPr>
            </w:pPr>
            <w:r>
              <w:rPr>
                <w:rFonts w:ascii="仿宋" w:hAnsi="仿宋" w:eastAsia="仿宋" w:cs="宋体"/>
                <w:kern w:val="0"/>
                <w:sz w:val="24"/>
              </w:rPr>
              <w:t>5</w:t>
            </w:r>
          </w:p>
        </w:tc>
        <w:tc>
          <w:tcPr>
            <w:tcW w:w="4204"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cs="宋体"/>
                <w:kern w:val="0"/>
                <w:sz w:val="24"/>
              </w:rPr>
            </w:pPr>
            <w:r>
              <w:rPr>
                <w:rFonts w:ascii="仿宋" w:hAnsi="仿宋" w:eastAsia="仿宋" w:cs="宋体"/>
                <w:kern w:val="0"/>
                <w:sz w:val="24"/>
              </w:rPr>
              <w:t>L</w:t>
            </w:r>
            <w:r>
              <w:rPr>
                <w:rFonts w:hint="eastAsia" w:ascii="仿宋" w:hAnsi="仿宋" w:eastAsia="仿宋" w:cs="宋体"/>
                <w:kern w:val="0"/>
                <w:sz w:val="24"/>
              </w:rPr>
              <w:t>inux AS5</w:t>
            </w:r>
          </w:p>
        </w:tc>
        <w:tc>
          <w:tcPr>
            <w:tcW w:w="3277"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 w:hAnsi="仿宋" w:eastAsia="仿宋" w:cs="宋体"/>
                <w:kern w:val="0"/>
                <w:sz w:val="24"/>
              </w:rPr>
            </w:pPr>
            <w:r>
              <w:rPr>
                <w:rFonts w:hint="eastAsia" w:ascii="仿宋" w:hAnsi="仿宋" w:eastAsia="仿宋" w:cs="宋体"/>
                <w:kern w:val="0"/>
                <w:sz w:val="24"/>
              </w:rPr>
              <w:t>服务器操作系统</w:t>
            </w:r>
          </w:p>
        </w:tc>
      </w:tr>
    </w:tbl>
    <w:p>
      <w:pPr>
        <w:adjustRightInd w:val="0"/>
        <w:snapToGrid w:val="0"/>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（二）竞赛设备清单</w:t>
      </w:r>
    </w:p>
    <w:tbl>
      <w:tblPr>
        <w:tblStyle w:val="9"/>
        <w:tblW w:w="83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04"/>
        <w:gridCol w:w="1436"/>
        <w:gridCol w:w="2533"/>
        <w:gridCol w:w="1010"/>
        <w:gridCol w:w="2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序号</w:t>
            </w:r>
          </w:p>
        </w:tc>
        <w:tc>
          <w:tcPr>
            <w:tcW w:w="1436" w:type="dxa"/>
            <w:tcBorders>
              <w:top w:val="single" w:color="auto" w:sz="4" w:space="0"/>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类型</w:t>
            </w:r>
          </w:p>
        </w:tc>
        <w:tc>
          <w:tcPr>
            <w:tcW w:w="2533" w:type="dxa"/>
            <w:tcBorders>
              <w:top w:val="single" w:color="auto" w:sz="4" w:space="0"/>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型号</w:t>
            </w:r>
          </w:p>
        </w:tc>
        <w:tc>
          <w:tcPr>
            <w:tcW w:w="1010" w:type="dxa"/>
            <w:tcBorders>
              <w:top w:val="single" w:color="auto" w:sz="4" w:space="0"/>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2649" w:type="dxa"/>
            <w:tcBorders>
              <w:top w:val="single" w:color="auto" w:sz="4" w:space="0"/>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 w:hRule="atLeast"/>
          <w:jc w:val="center"/>
        </w:trPr>
        <w:tc>
          <w:tcPr>
            <w:tcW w:w="704" w:type="dxa"/>
            <w:tcBorders>
              <w:top w:val="nil"/>
              <w:left w:val="single" w:color="auto" w:sz="4" w:space="0"/>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1436"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三层交换机</w:t>
            </w:r>
          </w:p>
        </w:tc>
        <w:tc>
          <w:tcPr>
            <w:tcW w:w="2533"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神州数码DCRS-5650-28</w:t>
            </w:r>
          </w:p>
        </w:tc>
        <w:tc>
          <w:tcPr>
            <w:tcW w:w="1010"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2649"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竞赛环境核心交换机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 w:hRule="atLeast"/>
          <w:jc w:val="center"/>
        </w:trPr>
        <w:tc>
          <w:tcPr>
            <w:tcW w:w="704" w:type="dxa"/>
            <w:tcBorders>
              <w:top w:val="nil"/>
              <w:left w:val="single" w:color="auto" w:sz="4" w:space="0"/>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2</w:t>
            </w:r>
          </w:p>
        </w:tc>
        <w:tc>
          <w:tcPr>
            <w:tcW w:w="1436"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防火墙</w:t>
            </w:r>
          </w:p>
        </w:tc>
        <w:tc>
          <w:tcPr>
            <w:tcW w:w="2533"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神州数码DCFW-1800S-H-V2</w:t>
            </w:r>
          </w:p>
        </w:tc>
        <w:tc>
          <w:tcPr>
            <w:tcW w:w="1010"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2649"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竞赛出口安全网关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 w:hRule="atLeast"/>
          <w:jc w:val="center"/>
        </w:trPr>
        <w:tc>
          <w:tcPr>
            <w:tcW w:w="704" w:type="dxa"/>
            <w:tcBorders>
              <w:top w:val="nil"/>
              <w:left w:val="single" w:color="auto" w:sz="4" w:space="0"/>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3</w:t>
            </w:r>
          </w:p>
        </w:tc>
        <w:tc>
          <w:tcPr>
            <w:tcW w:w="1436"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堡垒服务器</w:t>
            </w:r>
          </w:p>
        </w:tc>
        <w:tc>
          <w:tcPr>
            <w:tcW w:w="2533"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神州数码DCST-6000B</w:t>
            </w:r>
          </w:p>
        </w:tc>
        <w:tc>
          <w:tcPr>
            <w:tcW w:w="1010"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2649"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系统加固及渗透测试的目标平台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 w:hRule="atLeast"/>
          <w:jc w:val="center"/>
        </w:trPr>
        <w:tc>
          <w:tcPr>
            <w:tcW w:w="704" w:type="dxa"/>
            <w:tcBorders>
              <w:top w:val="nil"/>
              <w:left w:val="single" w:color="auto" w:sz="4" w:space="0"/>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1436"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web应用防火墙</w:t>
            </w:r>
          </w:p>
        </w:tc>
        <w:tc>
          <w:tcPr>
            <w:tcW w:w="2533"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神州数码DCFW-1800-WAF-LAB</w:t>
            </w:r>
          </w:p>
        </w:tc>
        <w:tc>
          <w:tcPr>
            <w:tcW w:w="1010"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2649"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_GB2312" w:hAnsi="仿宋" w:eastAsia="仿宋_GB2312" w:cs="宋体"/>
                <w:kern w:val="0"/>
                <w:sz w:val="24"/>
                <w:szCs w:val="24"/>
              </w:rPr>
            </w:pPr>
            <w:r>
              <w:rPr>
                <w:rFonts w:hint="eastAsia" w:ascii="仿宋_GB2312" w:hAnsi="仿宋" w:eastAsia="仿宋_GB2312"/>
                <w:sz w:val="24"/>
                <w:szCs w:val="24"/>
              </w:rPr>
              <w:t>保护web服务器不受外界的攻击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22" w:hRule="atLeast"/>
          <w:jc w:val="center"/>
        </w:trPr>
        <w:tc>
          <w:tcPr>
            <w:tcW w:w="704" w:type="dxa"/>
            <w:tcBorders>
              <w:top w:val="nil"/>
              <w:left w:val="single" w:color="auto" w:sz="4" w:space="0"/>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5</w:t>
            </w:r>
          </w:p>
        </w:tc>
        <w:tc>
          <w:tcPr>
            <w:tcW w:w="1436"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网络日志系统</w:t>
            </w:r>
          </w:p>
        </w:tc>
        <w:tc>
          <w:tcPr>
            <w:tcW w:w="2533"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神州数码DCBI-NetLog-LAB</w:t>
            </w:r>
          </w:p>
        </w:tc>
        <w:tc>
          <w:tcPr>
            <w:tcW w:w="1010"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2649"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_GB2312" w:hAnsi="仿宋" w:eastAsia="仿宋_GB2312" w:cs="宋体"/>
                <w:kern w:val="0"/>
                <w:sz w:val="24"/>
                <w:szCs w:val="24"/>
              </w:rPr>
            </w:pPr>
            <w:r>
              <w:rPr>
                <w:rFonts w:hint="eastAsia" w:ascii="仿宋_GB2312" w:hAnsi="仿宋" w:eastAsia="仿宋_GB2312"/>
                <w:sz w:val="24"/>
                <w:szCs w:val="24"/>
              </w:rPr>
              <w:t>记录关键应用的操作人、操作时间，具有很强的不可否认性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 w:hRule="atLeast"/>
          <w:jc w:val="center"/>
        </w:trPr>
        <w:tc>
          <w:tcPr>
            <w:tcW w:w="704" w:type="dxa"/>
            <w:tcBorders>
              <w:top w:val="nil"/>
              <w:left w:val="single" w:color="auto" w:sz="4" w:space="0"/>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6</w:t>
            </w:r>
          </w:p>
        </w:tc>
        <w:tc>
          <w:tcPr>
            <w:tcW w:w="1436"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网络流控系统</w:t>
            </w:r>
          </w:p>
        </w:tc>
        <w:tc>
          <w:tcPr>
            <w:tcW w:w="2533"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神州数码DCFS-LAB</w:t>
            </w:r>
          </w:p>
        </w:tc>
        <w:tc>
          <w:tcPr>
            <w:tcW w:w="1010"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2649"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_GB2312" w:hAnsi="仿宋" w:eastAsia="仿宋_GB2312" w:cs="宋体"/>
                <w:kern w:val="0"/>
                <w:sz w:val="24"/>
                <w:szCs w:val="24"/>
              </w:rPr>
            </w:pPr>
            <w:r>
              <w:rPr>
                <w:rFonts w:hint="eastAsia" w:ascii="仿宋_GB2312" w:hAnsi="仿宋" w:eastAsia="仿宋_GB2312"/>
                <w:sz w:val="24"/>
                <w:szCs w:val="24"/>
              </w:rPr>
              <w:t>检测出各网络系统的网络流量和异常情况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 w:hRule="atLeast"/>
          <w:jc w:val="center"/>
        </w:trPr>
        <w:tc>
          <w:tcPr>
            <w:tcW w:w="704" w:type="dxa"/>
            <w:tcBorders>
              <w:top w:val="nil"/>
              <w:left w:val="single" w:color="auto" w:sz="4" w:space="0"/>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7</w:t>
            </w:r>
          </w:p>
        </w:tc>
        <w:tc>
          <w:tcPr>
            <w:tcW w:w="1436"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PC机</w:t>
            </w:r>
          </w:p>
        </w:tc>
        <w:tc>
          <w:tcPr>
            <w:tcW w:w="2533"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多核CPU，主频1G、内存2G或以上</w:t>
            </w:r>
          </w:p>
        </w:tc>
        <w:tc>
          <w:tcPr>
            <w:tcW w:w="1010"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3</w:t>
            </w:r>
          </w:p>
        </w:tc>
        <w:tc>
          <w:tcPr>
            <w:tcW w:w="2649" w:type="dxa"/>
            <w:tcBorders>
              <w:top w:val="nil"/>
              <w:left w:val="nil"/>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客户机</w:t>
            </w:r>
          </w:p>
        </w:tc>
      </w:tr>
    </w:tbl>
    <w:p>
      <w:pPr>
        <w:widowControl w:val="0"/>
        <w:wordWrap/>
        <w:spacing w:line="560" w:lineRule="exact"/>
        <w:ind w:left="0" w:leftChars="0" w:right="0"/>
        <w:jc w:val="both"/>
        <w:textAlignment w:val="auto"/>
        <w:outlineLvl w:val="9"/>
        <w:rPr>
          <w:rFonts w:ascii="仿宋_GB2312" w:hAnsi="黑体" w:eastAsia="仿宋_GB2312"/>
          <w:b/>
          <w:sz w:val="28"/>
          <w:szCs w:val="28"/>
        </w:rPr>
      </w:pPr>
      <w:r>
        <w:rPr>
          <w:rFonts w:hint="eastAsia" w:ascii="仿宋_GB2312" w:hAnsi="黑体" w:eastAsia="仿宋_GB2312"/>
          <w:b/>
          <w:sz w:val="28"/>
          <w:szCs w:val="28"/>
          <w:lang w:val="en-US" w:eastAsia="zh-CN"/>
        </w:rPr>
        <w:t xml:space="preserve">    </w:t>
      </w:r>
      <w:r>
        <w:rPr>
          <w:rFonts w:hint="eastAsia" w:ascii="仿宋_GB2312" w:hAnsi="黑体" w:eastAsia="仿宋_GB2312"/>
          <w:b/>
          <w:sz w:val="28"/>
          <w:szCs w:val="28"/>
        </w:rPr>
        <w:t>十一、成绩评定</w:t>
      </w:r>
    </w:p>
    <w:p>
      <w:pPr>
        <w:widowControl w:val="0"/>
        <w:wordWrap/>
        <w:adjustRightInd w:val="0"/>
        <w:snapToGrid w:val="0"/>
        <w:spacing w:line="560" w:lineRule="exact"/>
        <w:ind w:left="0" w:leftChars="0" w:right="0" w:firstLine="560" w:firstLineChars="200"/>
        <w:jc w:val="both"/>
        <w:textAlignment w:val="auto"/>
        <w:outlineLvl w:val="9"/>
        <w:rPr>
          <w:rFonts w:ascii="仿宋_GB2312" w:eastAsia="仿宋_GB2312"/>
          <w:sz w:val="28"/>
          <w:szCs w:val="28"/>
        </w:rPr>
      </w:pPr>
      <w:r>
        <w:rPr>
          <w:rFonts w:hint="eastAsia" w:ascii="仿宋_GB2312" w:hAnsi="仿宋" w:eastAsia="仿宋_GB2312"/>
          <w:sz w:val="28"/>
          <w:szCs w:val="28"/>
        </w:rPr>
        <w:t>（一）裁判工作原则</w:t>
      </w:r>
    </w:p>
    <w:p>
      <w:pPr>
        <w:pStyle w:val="6"/>
        <w:widowControl w:val="0"/>
        <w:wordWrap/>
        <w:adjustRightInd w:val="0"/>
        <w:snapToGrid w:val="0"/>
        <w:spacing w:before="0" w:after="0" w:line="560" w:lineRule="exact"/>
        <w:ind w:left="0" w:leftChars="0" w:right="0" w:firstLine="560" w:firstLineChars="200"/>
        <w:jc w:val="both"/>
        <w:textAlignment w:val="auto"/>
        <w:outlineLvl w:val="9"/>
        <w:rPr>
          <w:rFonts w:ascii="仿宋_GB2312" w:eastAsia="仿宋_GB2312"/>
          <w:b w:val="0"/>
          <w:sz w:val="28"/>
          <w:szCs w:val="28"/>
        </w:rPr>
      </w:pPr>
      <w:r>
        <w:rPr>
          <w:rFonts w:hint="eastAsia" w:ascii="仿宋_GB2312" w:eastAsia="仿宋_GB2312"/>
          <w:b w:val="0"/>
          <w:sz w:val="28"/>
          <w:szCs w:val="28"/>
        </w:rPr>
        <w:t>按照《2015年全国职业院校技能大赛专家和裁判工作管理办法》建立全国职业院校技能大赛赛项裁判库，裁判长由赛项执委会向大赛执委会推荐，由大赛执委会聘任。赛前建立健全裁判组。裁判组由裁判长负责制，划分裁判小组（2人为一组），并设有专职督导人员1-2名，负责比赛过程全程监督，防止营私舞弊。本赛项计划需要裁判26名。分为加密裁判、现场裁判和评分裁判。</w:t>
      </w:r>
    </w:p>
    <w:p>
      <w:pPr>
        <w:widowControl w:val="0"/>
        <w:wordWrap/>
        <w:adjustRightInd w:val="0"/>
        <w:snapToGrid w:val="0"/>
        <w:spacing w:line="560" w:lineRule="exact"/>
        <w:ind w:left="0" w:leftChars="0" w:right="0" w:firstLine="560" w:firstLineChars="200"/>
        <w:jc w:val="both"/>
        <w:textAlignment w:val="auto"/>
        <w:outlineLvl w:val="9"/>
        <w:rPr>
          <w:rFonts w:ascii="仿宋_GB2312" w:hAnsi="Cambria" w:eastAsia="仿宋_GB2312" w:cs="Times New Roman"/>
          <w:bCs/>
          <w:kern w:val="28"/>
          <w:sz w:val="28"/>
          <w:szCs w:val="28"/>
        </w:rPr>
      </w:pPr>
      <w:r>
        <w:rPr>
          <w:rFonts w:hint="eastAsia" w:ascii="仿宋_GB2312" w:hAnsi="Cambria" w:eastAsia="仿宋_GB2312" w:cs="Times New Roman"/>
          <w:bCs/>
          <w:kern w:val="28"/>
          <w:sz w:val="28"/>
          <w:szCs w:val="28"/>
        </w:rPr>
        <w:t>赛项需进行三次加密，加密后参赛选手中途不得擅自离开赛场。分别由3组加密裁判组织实施加密工作，管理加密结果。监督员全程监督加密过程。</w:t>
      </w:r>
    </w:p>
    <w:p>
      <w:pPr>
        <w:widowControl w:val="0"/>
        <w:wordWrap/>
        <w:adjustRightInd w:val="0"/>
        <w:snapToGrid w:val="0"/>
        <w:spacing w:line="560" w:lineRule="exact"/>
        <w:ind w:left="0" w:leftChars="0" w:right="0" w:firstLine="560" w:firstLineChars="200"/>
        <w:jc w:val="both"/>
        <w:textAlignment w:val="auto"/>
        <w:outlineLvl w:val="9"/>
        <w:rPr>
          <w:rFonts w:ascii="仿宋_GB2312" w:hAnsi="Cambria" w:eastAsia="仿宋_GB2312" w:cs="Times New Roman"/>
          <w:bCs/>
          <w:kern w:val="28"/>
          <w:sz w:val="28"/>
          <w:szCs w:val="28"/>
        </w:rPr>
      </w:pPr>
      <w:r>
        <w:rPr>
          <w:rFonts w:hint="eastAsia" w:ascii="仿宋_GB2312" w:hAnsi="Cambria" w:eastAsia="仿宋_GB2312" w:cs="Times New Roman"/>
          <w:bCs/>
          <w:kern w:val="28"/>
          <w:sz w:val="28"/>
          <w:szCs w:val="28"/>
        </w:rPr>
        <w:t>第一组加密裁判，组织参赛选手进行第一次抽签，产生参赛编号，替换选手参赛证等个人身份信息，填写一次加密记录表连同选手参赛证等个人身份信息证件，装入一次加密结果密封袋中单独保管。</w:t>
      </w:r>
    </w:p>
    <w:p>
      <w:pPr>
        <w:widowControl w:val="0"/>
        <w:wordWrap/>
        <w:adjustRightInd w:val="0"/>
        <w:snapToGrid w:val="0"/>
        <w:spacing w:line="560" w:lineRule="exact"/>
        <w:ind w:left="0" w:leftChars="0" w:right="0" w:firstLine="560" w:firstLineChars="200"/>
        <w:jc w:val="both"/>
        <w:textAlignment w:val="auto"/>
        <w:outlineLvl w:val="9"/>
        <w:rPr>
          <w:rFonts w:ascii="仿宋_GB2312" w:hAnsi="Cambria" w:eastAsia="仿宋_GB2312" w:cs="Times New Roman"/>
          <w:bCs/>
          <w:kern w:val="28"/>
          <w:sz w:val="28"/>
          <w:szCs w:val="28"/>
        </w:rPr>
      </w:pPr>
      <w:r>
        <w:rPr>
          <w:rFonts w:hint="eastAsia" w:ascii="仿宋_GB2312" w:hAnsi="Cambria" w:eastAsia="仿宋_GB2312" w:cs="Times New Roman"/>
          <w:bCs/>
          <w:kern w:val="28"/>
          <w:sz w:val="28"/>
          <w:szCs w:val="28"/>
        </w:rPr>
        <w:t>第二组加密裁判，组织参赛选手进行第二次抽签，确定赛位号，替换选手参赛编号，填写二次加密记录表连同选手参赛编号，装入二次加密结果密封袋中单独保管。</w:t>
      </w:r>
    </w:p>
    <w:p>
      <w:pPr>
        <w:widowControl w:val="0"/>
        <w:wordWrap/>
        <w:adjustRightInd w:val="0"/>
        <w:snapToGrid w:val="0"/>
        <w:spacing w:line="560" w:lineRule="exact"/>
        <w:ind w:left="0" w:leftChars="0" w:right="0" w:firstLine="560" w:firstLineChars="200"/>
        <w:jc w:val="both"/>
        <w:textAlignment w:val="auto"/>
        <w:outlineLvl w:val="9"/>
        <w:rPr>
          <w:rFonts w:ascii="仿宋_GB2312" w:hAnsi="Cambria" w:eastAsia="仿宋_GB2312" w:cs="Times New Roman"/>
          <w:bCs/>
          <w:kern w:val="28"/>
          <w:sz w:val="28"/>
          <w:szCs w:val="28"/>
        </w:rPr>
      </w:pPr>
      <w:r>
        <w:rPr>
          <w:rFonts w:hint="eastAsia" w:ascii="仿宋_GB2312" w:hAnsi="Cambria" w:eastAsia="仿宋_GB2312" w:cs="Times New Roman"/>
          <w:bCs/>
          <w:kern w:val="28"/>
          <w:sz w:val="28"/>
          <w:szCs w:val="28"/>
        </w:rPr>
        <w:t>第三组加密裁判对提交的竞赛文档进行加密。确定竞赛文档号，替换赛位号，填写三次加密记录表，装入三次加密结果密封袋中单独保管。</w:t>
      </w:r>
    </w:p>
    <w:p>
      <w:pPr>
        <w:widowControl w:val="0"/>
        <w:wordWrap/>
        <w:adjustRightInd w:val="0"/>
        <w:snapToGrid w:val="0"/>
        <w:spacing w:line="560" w:lineRule="exact"/>
        <w:ind w:left="0" w:leftChars="0" w:right="0" w:firstLine="560" w:firstLineChars="200"/>
        <w:jc w:val="both"/>
        <w:textAlignment w:val="auto"/>
        <w:outlineLvl w:val="9"/>
        <w:rPr>
          <w:rFonts w:hint="eastAsia" w:ascii="仿宋_GB2312" w:hAnsi="Cambria" w:eastAsia="仿宋_GB2312" w:cs="Times New Roman"/>
          <w:bCs/>
          <w:kern w:val="28"/>
          <w:sz w:val="28"/>
          <w:szCs w:val="28"/>
          <w:lang w:val="en-US" w:eastAsia="zh-CN"/>
        </w:rPr>
      </w:pPr>
      <w:r>
        <w:rPr>
          <w:rFonts w:hint="eastAsia" w:ascii="仿宋_GB2312" w:hAnsi="Cambria" w:eastAsia="仿宋_GB2312" w:cs="Times New Roman"/>
          <w:bCs/>
          <w:kern w:val="28"/>
          <w:sz w:val="28"/>
          <w:szCs w:val="28"/>
        </w:rPr>
        <w:t>所有加密结果密封袋的封条均需相应加密裁判和监督人员签字。密封袋在监督人员监督下由加密裁判放置于保密室的保险柜中保存。</w:t>
      </w:r>
      <w:r>
        <w:rPr>
          <w:rFonts w:hint="eastAsia" w:ascii="仿宋_GB2312" w:hAnsi="Cambria" w:eastAsia="仿宋_GB2312" w:cs="Times New Roman"/>
          <w:bCs/>
          <w:kern w:val="28"/>
          <w:sz w:val="28"/>
          <w:szCs w:val="28"/>
          <w:lang w:val="en-US" w:eastAsia="zh-CN"/>
        </w:rPr>
        <w:t xml:space="preserve">  </w:t>
      </w:r>
    </w:p>
    <w:p>
      <w:pPr>
        <w:widowControl w:val="0"/>
        <w:wordWrap/>
        <w:adjustRightInd w:val="0"/>
        <w:snapToGrid w:val="0"/>
        <w:spacing w:line="560" w:lineRule="exact"/>
        <w:ind w:left="0" w:leftChars="0" w:right="0" w:firstLine="560" w:firstLineChars="200"/>
        <w:jc w:val="both"/>
        <w:textAlignment w:val="auto"/>
        <w:outlineLvl w:val="9"/>
        <w:rPr>
          <w:rFonts w:ascii="仿宋_GB2312" w:eastAsia="仿宋_GB2312"/>
          <w:b/>
          <w:sz w:val="28"/>
          <w:szCs w:val="28"/>
        </w:rPr>
      </w:pPr>
      <w:r>
        <w:rPr>
          <w:rFonts w:hint="eastAsia" w:ascii="仿宋_GB2312" w:hAnsi="仿宋" w:eastAsia="仿宋_GB2312"/>
          <w:sz w:val="28"/>
          <w:szCs w:val="28"/>
        </w:rPr>
        <w:t>（二）裁判评分方法</w:t>
      </w:r>
    </w:p>
    <w:p>
      <w:pPr>
        <w:pStyle w:val="6"/>
        <w:widowControl w:val="0"/>
        <w:wordWrap/>
        <w:adjustRightInd w:val="0"/>
        <w:snapToGrid w:val="0"/>
        <w:spacing w:before="0" w:after="0" w:line="560" w:lineRule="exact"/>
        <w:ind w:left="0" w:leftChars="0" w:right="0" w:firstLine="560" w:firstLineChars="200"/>
        <w:jc w:val="both"/>
        <w:textAlignment w:val="auto"/>
        <w:outlineLvl w:val="9"/>
        <w:rPr>
          <w:rFonts w:ascii="仿宋_GB2312" w:eastAsia="仿宋_GB2312"/>
          <w:b w:val="0"/>
          <w:sz w:val="28"/>
          <w:szCs w:val="28"/>
        </w:rPr>
      </w:pPr>
      <w:r>
        <w:rPr>
          <w:rFonts w:hint="eastAsia" w:ascii="仿宋_GB2312" w:eastAsia="仿宋_GB2312"/>
          <w:b w:val="0"/>
          <w:sz w:val="28"/>
          <w:szCs w:val="28"/>
        </w:rPr>
        <w:t>裁判组负责竞赛机考评分和结果性评分，由裁判长负责竞赛全过程；裁判员提前报到，报到后所有裁判的手机全部上缴裁判长统一保管，评分结束返回，保证竞赛的公正与公平。</w:t>
      </w:r>
    </w:p>
    <w:p>
      <w:pPr>
        <w:pStyle w:val="6"/>
        <w:widowControl w:val="0"/>
        <w:wordWrap/>
        <w:adjustRightInd w:val="0"/>
        <w:snapToGrid w:val="0"/>
        <w:spacing w:before="0" w:after="0" w:line="560" w:lineRule="exact"/>
        <w:ind w:left="0" w:leftChars="0" w:right="0" w:firstLine="560" w:firstLineChars="200"/>
        <w:jc w:val="both"/>
        <w:textAlignment w:val="auto"/>
        <w:outlineLvl w:val="9"/>
        <w:rPr>
          <w:rFonts w:ascii="仿宋_GB2312" w:eastAsia="仿宋_GB2312"/>
          <w:b w:val="0"/>
          <w:sz w:val="28"/>
          <w:szCs w:val="28"/>
        </w:rPr>
      </w:pPr>
      <w:r>
        <w:rPr>
          <w:rFonts w:hint="eastAsia" w:ascii="仿宋_GB2312" w:eastAsia="仿宋_GB2312"/>
          <w:b w:val="0"/>
          <w:sz w:val="28"/>
          <w:szCs w:val="28"/>
        </w:rPr>
        <w:t>竞赛现场有监督员、裁判员、监考员、技术支持队伍等组成，分工明确。根据现场环境，每位监考员负责2-3组参赛队，5-6名技术支持工程师负责所有工位设备应急。监考员负责与参赛队伍的交流沟通及试卷等材料的收发，裁判员负责设备问题确认和现场执裁，技术支持负责执行裁判确认后的设备应急处理。</w:t>
      </w:r>
    </w:p>
    <w:p>
      <w:pPr>
        <w:widowControl w:val="0"/>
        <w:wordWrap/>
        <w:adjustRightInd w:val="0"/>
        <w:snapToGrid w:val="0"/>
        <w:spacing w:line="560" w:lineRule="exact"/>
        <w:ind w:left="0" w:leftChars="0" w:right="0" w:firstLine="560" w:firstLineChars="200"/>
        <w:jc w:val="both"/>
        <w:textAlignment w:val="auto"/>
        <w:outlineLvl w:val="9"/>
        <w:rPr>
          <w:rFonts w:ascii="仿宋_GB2312" w:eastAsia="仿宋_GB2312"/>
          <w:sz w:val="28"/>
          <w:szCs w:val="28"/>
        </w:rPr>
      </w:pPr>
      <w:r>
        <w:rPr>
          <w:rFonts w:hint="eastAsia" w:ascii="仿宋_GB2312" w:hAnsi="仿宋" w:eastAsia="仿宋_GB2312"/>
          <w:sz w:val="28"/>
          <w:szCs w:val="28"/>
        </w:rPr>
        <w:t>（三）成绩产生办法</w:t>
      </w:r>
    </w:p>
    <w:p>
      <w:pPr>
        <w:pStyle w:val="6"/>
        <w:widowControl w:val="0"/>
        <w:wordWrap/>
        <w:adjustRightInd w:val="0"/>
        <w:snapToGrid w:val="0"/>
        <w:spacing w:before="0" w:after="0" w:line="560" w:lineRule="exact"/>
        <w:ind w:left="0" w:leftChars="0" w:right="0" w:firstLine="560" w:firstLineChars="200"/>
        <w:jc w:val="both"/>
        <w:textAlignment w:val="auto"/>
        <w:outlineLvl w:val="9"/>
        <w:rPr>
          <w:rFonts w:ascii="仿宋_GB2312" w:eastAsia="仿宋_GB2312"/>
          <w:b w:val="0"/>
          <w:sz w:val="28"/>
          <w:szCs w:val="28"/>
        </w:rPr>
      </w:pPr>
      <w:r>
        <w:rPr>
          <w:rFonts w:hint="eastAsia" w:ascii="仿宋_GB2312" w:eastAsia="仿宋_GB2312"/>
          <w:b w:val="0"/>
          <w:sz w:val="28"/>
          <w:szCs w:val="28"/>
        </w:rPr>
        <w:t>裁判员执裁过程中，各模块由分组裁判员进行背对背评分，由小组长负责裁定成绩一致方提交到成绩统计组，统计组再次核对每小题的得分，并汇总产生每套竞赛文档号的对应成绩。</w:t>
      </w:r>
    </w:p>
    <w:p>
      <w:pPr>
        <w:pStyle w:val="6"/>
        <w:widowControl w:val="0"/>
        <w:wordWrap/>
        <w:adjustRightInd w:val="0"/>
        <w:snapToGrid w:val="0"/>
        <w:spacing w:before="0" w:after="0" w:line="560" w:lineRule="exact"/>
        <w:ind w:left="0" w:leftChars="0" w:right="0" w:firstLine="560" w:firstLineChars="200"/>
        <w:jc w:val="both"/>
        <w:textAlignment w:val="auto"/>
        <w:outlineLvl w:val="9"/>
        <w:rPr>
          <w:rFonts w:ascii="仿宋_GB2312" w:eastAsia="仿宋_GB2312"/>
          <w:b w:val="0"/>
          <w:sz w:val="28"/>
          <w:szCs w:val="28"/>
        </w:rPr>
      </w:pPr>
      <w:r>
        <w:rPr>
          <w:rFonts w:hint="eastAsia" w:ascii="仿宋_GB2312" w:eastAsia="仿宋_GB2312"/>
          <w:b w:val="0"/>
          <w:sz w:val="28"/>
          <w:szCs w:val="28"/>
        </w:rPr>
        <w:t>裁判长在竞赛结束18小时内提交竞赛文档号对应的评分结果，经复核无误，由裁判长、监督人员和仲裁人员签字确认后公布。</w:t>
      </w:r>
    </w:p>
    <w:p>
      <w:pPr>
        <w:pStyle w:val="6"/>
        <w:widowControl w:val="0"/>
        <w:wordWrap/>
        <w:adjustRightInd w:val="0"/>
        <w:snapToGrid w:val="0"/>
        <w:spacing w:before="0" w:after="0" w:line="560" w:lineRule="exact"/>
        <w:ind w:left="0" w:leftChars="0" w:right="0" w:firstLine="560" w:firstLineChars="200"/>
        <w:jc w:val="both"/>
        <w:textAlignment w:val="auto"/>
        <w:outlineLvl w:val="9"/>
        <w:rPr>
          <w:rFonts w:ascii="仿宋_GB2312" w:eastAsia="仿宋_GB2312"/>
          <w:b w:val="0"/>
          <w:sz w:val="28"/>
          <w:szCs w:val="28"/>
        </w:rPr>
      </w:pPr>
      <w:r>
        <w:rPr>
          <w:rFonts w:hint="eastAsia" w:ascii="仿宋_GB2312" w:eastAsia="仿宋_GB2312"/>
          <w:b w:val="0"/>
          <w:sz w:val="28"/>
          <w:szCs w:val="28"/>
        </w:rPr>
        <w:t>裁判长正式提交竞赛文档号对应的评分结果并复核无误后，加密裁判在监督人员监督下对加密结果进行逐层解密，形成成绩一览表，成绩表由裁判长、监督员签字确认。</w:t>
      </w:r>
    </w:p>
    <w:p>
      <w:pPr>
        <w:pStyle w:val="6"/>
        <w:widowControl w:val="0"/>
        <w:wordWrap/>
        <w:adjustRightInd w:val="0"/>
        <w:snapToGrid w:val="0"/>
        <w:spacing w:before="0" w:after="0" w:line="560" w:lineRule="exact"/>
        <w:ind w:left="0" w:leftChars="0" w:right="0" w:firstLine="560" w:firstLineChars="200"/>
        <w:jc w:val="both"/>
        <w:textAlignment w:val="auto"/>
        <w:outlineLvl w:val="9"/>
        <w:rPr>
          <w:rFonts w:ascii="仿宋_GB2312" w:eastAsia="仿宋_GB2312"/>
          <w:b w:val="0"/>
          <w:sz w:val="28"/>
          <w:szCs w:val="28"/>
        </w:rPr>
      </w:pPr>
      <w:r>
        <w:rPr>
          <w:rFonts w:hint="eastAsia" w:ascii="仿宋_GB2312" w:eastAsia="仿宋_GB2312"/>
          <w:b w:val="0"/>
          <w:sz w:val="28"/>
          <w:szCs w:val="28"/>
        </w:rPr>
        <w:t>竞赛评分严格按照公平、公正、公开的原则，评分标准注重考查参赛选手以下各方面的能力和水平：</w:t>
      </w:r>
    </w:p>
    <w:tbl>
      <w:tblPr>
        <w:tblStyle w:val="9"/>
        <w:tblW w:w="8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11"/>
        <w:gridCol w:w="1379"/>
        <w:gridCol w:w="3035"/>
        <w:gridCol w:w="82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1211"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b/>
                <w:bCs/>
                <w:kern w:val="0"/>
                <w:sz w:val="24"/>
                <w:szCs w:val="24"/>
              </w:rPr>
            </w:pPr>
            <w:bookmarkStart w:id="1" w:name="_GoBack"/>
            <w:r>
              <w:rPr>
                <w:rFonts w:hint="eastAsia" w:ascii="仿宋_GB2312" w:hAnsi="仿宋" w:eastAsia="仿宋_GB2312" w:cs="宋体"/>
                <w:b/>
                <w:bCs/>
                <w:kern w:val="0"/>
                <w:sz w:val="24"/>
                <w:szCs w:val="24"/>
              </w:rPr>
              <w:t>序号</w:t>
            </w:r>
          </w:p>
        </w:tc>
        <w:tc>
          <w:tcPr>
            <w:tcW w:w="1379"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内容模块</w:t>
            </w:r>
          </w:p>
        </w:tc>
        <w:tc>
          <w:tcPr>
            <w:tcW w:w="3035" w:type="dxa"/>
            <w:vAlign w:val="top"/>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评分载体</w:t>
            </w:r>
          </w:p>
        </w:tc>
        <w:tc>
          <w:tcPr>
            <w:tcW w:w="828" w:type="dxa"/>
            <w:vAlign w:val="top"/>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分值</w:t>
            </w:r>
          </w:p>
        </w:tc>
        <w:tc>
          <w:tcPr>
            <w:tcW w:w="1843" w:type="dxa"/>
            <w:vAlign w:val="center"/>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211" w:type="dxa"/>
            <w:vMerge w:val="restart"/>
            <w:vAlign w:val="center"/>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第一阶段</w:t>
            </w:r>
          </w:p>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权重30%</w:t>
            </w:r>
          </w:p>
        </w:tc>
        <w:tc>
          <w:tcPr>
            <w:tcW w:w="1379" w:type="dxa"/>
            <w:vMerge w:val="restart"/>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网络平台搭建</w:t>
            </w:r>
          </w:p>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权重9%</w:t>
            </w:r>
          </w:p>
        </w:tc>
        <w:tc>
          <w:tcPr>
            <w:tcW w:w="3035" w:type="dxa"/>
            <w:vAlign w:val="top"/>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网络规划文档</w:t>
            </w:r>
          </w:p>
        </w:tc>
        <w:tc>
          <w:tcPr>
            <w:tcW w:w="828" w:type="dxa"/>
            <w:vAlign w:val="top"/>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2%</w:t>
            </w:r>
          </w:p>
        </w:tc>
        <w:tc>
          <w:tcPr>
            <w:tcW w:w="1843"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3" w:hRule="atLeast"/>
        </w:trPr>
        <w:tc>
          <w:tcPr>
            <w:tcW w:w="1211" w:type="dxa"/>
            <w:vMerge w:val="continue"/>
            <w:vAlign w:val="center"/>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p>
        </w:tc>
        <w:tc>
          <w:tcPr>
            <w:tcW w:w="1379" w:type="dxa"/>
            <w:vMerge w:val="continue"/>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p>
        </w:tc>
        <w:tc>
          <w:tcPr>
            <w:tcW w:w="3035" w:type="dxa"/>
            <w:vAlign w:val="top"/>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三层交换机配置文件</w:t>
            </w:r>
          </w:p>
        </w:tc>
        <w:tc>
          <w:tcPr>
            <w:tcW w:w="828" w:type="dxa"/>
            <w:vAlign w:val="top"/>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7%</w:t>
            </w:r>
          </w:p>
        </w:tc>
        <w:tc>
          <w:tcPr>
            <w:tcW w:w="1843"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5" w:hRule="atLeast"/>
        </w:trPr>
        <w:tc>
          <w:tcPr>
            <w:tcW w:w="1211" w:type="dxa"/>
            <w:vMerge w:val="continue"/>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p>
        </w:tc>
        <w:tc>
          <w:tcPr>
            <w:tcW w:w="1379" w:type="dxa"/>
            <w:vMerge w:val="restart"/>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网络安全设备配置与防护</w:t>
            </w:r>
          </w:p>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权重21%</w:t>
            </w:r>
          </w:p>
        </w:tc>
        <w:tc>
          <w:tcPr>
            <w:tcW w:w="3035" w:type="dxa"/>
            <w:vAlign w:val="top"/>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防火墙配置截图文件</w:t>
            </w:r>
          </w:p>
        </w:tc>
        <w:tc>
          <w:tcPr>
            <w:tcW w:w="828" w:type="dxa"/>
            <w:vAlign w:val="top"/>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7%</w:t>
            </w:r>
          </w:p>
        </w:tc>
        <w:tc>
          <w:tcPr>
            <w:tcW w:w="1843"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8" w:hRule="atLeast"/>
        </w:trPr>
        <w:tc>
          <w:tcPr>
            <w:tcW w:w="1211" w:type="dxa"/>
            <w:vMerge w:val="continue"/>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p>
        </w:tc>
        <w:tc>
          <w:tcPr>
            <w:tcW w:w="1379" w:type="dxa"/>
            <w:vMerge w:val="continue"/>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p>
        </w:tc>
        <w:tc>
          <w:tcPr>
            <w:tcW w:w="3035" w:type="dxa"/>
            <w:vAlign w:val="top"/>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网络流控系统配置截图文件</w:t>
            </w:r>
          </w:p>
        </w:tc>
        <w:tc>
          <w:tcPr>
            <w:tcW w:w="828" w:type="dxa"/>
            <w:vAlign w:val="top"/>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7%</w:t>
            </w:r>
          </w:p>
        </w:tc>
        <w:tc>
          <w:tcPr>
            <w:tcW w:w="1843"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26" w:hRule="atLeast"/>
        </w:trPr>
        <w:tc>
          <w:tcPr>
            <w:tcW w:w="1211" w:type="dxa"/>
            <w:vMerge w:val="continue"/>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p>
        </w:tc>
        <w:tc>
          <w:tcPr>
            <w:tcW w:w="1379" w:type="dxa"/>
            <w:vMerge w:val="continue"/>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p>
        </w:tc>
        <w:tc>
          <w:tcPr>
            <w:tcW w:w="3035" w:type="dxa"/>
            <w:vAlign w:val="top"/>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网络日志系统配置截图文件</w:t>
            </w:r>
          </w:p>
        </w:tc>
        <w:tc>
          <w:tcPr>
            <w:tcW w:w="828" w:type="dxa"/>
            <w:vAlign w:val="top"/>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7%</w:t>
            </w:r>
          </w:p>
        </w:tc>
        <w:tc>
          <w:tcPr>
            <w:tcW w:w="1843"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8" w:hRule="atLeast"/>
        </w:trPr>
        <w:tc>
          <w:tcPr>
            <w:tcW w:w="1211" w:type="dxa"/>
            <w:vMerge w:val="restart"/>
            <w:vAlign w:val="center"/>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第二阶段</w:t>
            </w:r>
          </w:p>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权重30%</w:t>
            </w:r>
          </w:p>
        </w:tc>
        <w:tc>
          <w:tcPr>
            <w:tcW w:w="1379" w:type="dxa"/>
            <w:vMerge w:val="restart"/>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系统安全攻防及运维安全管控</w:t>
            </w:r>
          </w:p>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权重30%</w:t>
            </w:r>
          </w:p>
        </w:tc>
        <w:tc>
          <w:tcPr>
            <w:tcW w:w="3035" w:type="dxa"/>
            <w:vAlign w:val="top"/>
          </w:tcPr>
          <w:p>
            <w:pPr>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服务器加固配置截图文件</w:t>
            </w:r>
          </w:p>
        </w:tc>
        <w:tc>
          <w:tcPr>
            <w:tcW w:w="828" w:type="dxa"/>
            <w:vAlign w:val="top"/>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10%</w:t>
            </w:r>
          </w:p>
        </w:tc>
        <w:tc>
          <w:tcPr>
            <w:tcW w:w="1843"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26" w:hRule="atLeast"/>
        </w:trPr>
        <w:tc>
          <w:tcPr>
            <w:tcW w:w="1211" w:type="dxa"/>
            <w:vMerge w:val="continue"/>
            <w:vAlign w:val="center"/>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p>
        </w:tc>
        <w:tc>
          <w:tcPr>
            <w:tcW w:w="1379" w:type="dxa"/>
            <w:vMerge w:val="continue"/>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p>
        </w:tc>
        <w:tc>
          <w:tcPr>
            <w:tcW w:w="3035" w:type="dxa"/>
            <w:vAlign w:val="top"/>
          </w:tcPr>
          <w:p>
            <w:pPr>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服务器渗透配置截图文件</w:t>
            </w:r>
          </w:p>
        </w:tc>
        <w:tc>
          <w:tcPr>
            <w:tcW w:w="828" w:type="dxa"/>
            <w:vAlign w:val="top"/>
          </w:tcPr>
          <w:p>
            <w:pPr>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10%</w:t>
            </w:r>
          </w:p>
        </w:tc>
        <w:tc>
          <w:tcPr>
            <w:tcW w:w="1843"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6" w:hRule="atLeast"/>
        </w:trPr>
        <w:tc>
          <w:tcPr>
            <w:tcW w:w="1211" w:type="dxa"/>
            <w:vMerge w:val="continue"/>
            <w:vAlign w:val="center"/>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p>
        </w:tc>
        <w:tc>
          <w:tcPr>
            <w:tcW w:w="1379" w:type="dxa"/>
            <w:vMerge w:val="continue"/>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p>
        </w:tc>
        <w:tc>
          <w:tcPr>
            <w:tcW w:w="3035" w:type="dxa"/>
            <w:vAlign w:val="top"/>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web应用防火墙配置截图文件</w:t>
            </w:r>
          </w:p>
        </w:tc>
        <w:tc>
          <w:tcPr>
            <w:tcW w:w="828" w:type="dxa"/>
            <w:vAlign w:val="top"/>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10%</w:t>
            </w:r>
          </w:p>
        </w:tc>
        <w:tc>
          <w:tcPr>
            <w:tcW w:w="1843"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211" w:type="dxa"/>
            <w:vMerge w:val="restart"/>
            <w:vAlign w:val="center"/>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第三阶段</w:t>
            </w:r>
          </w:p>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权重40%</w:t>
            </w:r>
          </w:p>
        </w:tc>
        <w:tc>
          <w:tcPr>
            <w:tcW w:w="1379" w:type="dxa"/>
            <w:vMerge w:val="restart"/>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分组对抗</w:t>
            </w:r>
          </w:p>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权重40%</w:t>
            </w:r>
          </w:p>
        </w:tc>
        <w:tc>
          <w:tcPr>
            <w:tcW w:w="3035" w:type="dxa"/>
            <w:vAlign w:val="top"/>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防守成功，坚持到竞赛结束</w:t>
            </w:r>
          </w:p>
        </w:tc>
        <w:tc>
          <w:tcPr>
            <w:tcW w:w="828" w:type="dxa"/>
            <w:vAlign w:val="top"/>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10%</w:t>
            </w:r>
          </w:p>
        </w:tc>
        <w:tc>
          <w:tcPr>
            <w:tcW w:w="1843"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机考评分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1" w:hRule="atLeast"/>
        </w:trPr>
        <w:tc>
          <w:tcPr>
            <w:tcW w:w="1211" w:type="dxa"/>
            <w:vMerge w:val="continue"/>
            <w:vAlign w:val="center"/>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p>
        </w:tc>
        <w:tc>
          <w:tcPr>
            <w:tcW w:w="1379" w:type="dxa"/>
            <w:vMerge w:val="continue"/>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p>
        </w:tc>
        <w:tc>
          <w:tcPr>
            <w:tcW w:w="3035" w:type="dxa"/>
            <w:vAlign w:val="top"/>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渗透成功（每渗透成功1队得2分）</w:t>
            </w:r>
          </w:p>
        </w:tc>
        <w:tc>
          <w:tcPr>
            <w:tcW w:w="828" w:type="dxa"/>
            <w:vAlign w:val="top"/>
          </w:tcPr>
          <w:p>
            <w:pPr>
              <w:widowControl/>
              <w:wordWrap/>
              <w:adjustRightInd/>
              <w:snapToGrid/>
              <w:spacing w:line="240" w:lineRule="auto"/>
              <w:ind w:left="0" w:leftChars="0" w:right="0" w:firstLine="0" w:firstLineChars="0"/>
              <w:jc w:val="center"/>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30%</w:t>
            </w:r>
          </w:p>
        </w:tc>
        <w:tc>
          <w:tcPr>
            <w:tcW w:w="1843" w:type="dxa"/>
            <w:vAlign w:val="center"/>
          </w:tcPr>
          <w:p>
            <w:pPr>
              <w:widowControl/>
              <w:wordWrap/>
              <w:adjustRightInd/>
              <w:snapToGrid/>
              <w:spacing w:line="240" w:lineRule="auto"/>
              <w:ind w:left="0" w:leftChars="0" w:right="0" w:firstLine="0" w:firstLineChars="0"/>
              <w:jc w:val="left"/>
              <w:textAlignment w:val="auto"/>
              <w:outlineLvl w:val="9"/>
              <w:rPr>
                <w:rFonts w:ascii="仿宋_GB2312" w:hAnsi="仿宋" w:eastAsia="仿宋_GB2312" w:cs="宋体"/>
                <w:kern w:val="0"/>
                <w:sz w:val="24"/>
                <w:szCs w:val="24"/>
              </w:rPr>
            </w:pPr>
            <w:r>
              <w:rPr>
                <w:rFonts w:hint="eastAsia" w:ascii="仿宋_GB2312" w:hAnsi="仿宋" w:eastAsia="仿宋_GB2312" w:cs="宋体"/>
                <w:kern w:val="0"/>
                <w:sz w:val="24"/>
                <w:szCs w:val="24"/>
              </w:rPr>
              <w:t>机考评分</w:t>
            </w:r>
          </w:p>
        </w:tc>
      </w:tr>
      <w:bookmarkEnd w:id="1"/>
    </w:tbl>
    <w:p>
      <w:pPr>
        <w:pStyle w:val="6"/>
        <w:widowControl w:val="0"/>
        <w:wordWrap/>
        <w:adjustRightInd w:val="0"/>
        <w:snapToGrid w:val="0"/>
        <w:spacing w:before="0" w:after="0" w:line="560" w:lineRule="exact"/>
        <w:ind w:right="0" w:firstLine="560" w:firstLineChars="200"/>
        <w:jc w:val="both"/>
        <w:textAlignment w:val="auto"/>
        <w:outlineLvl w:val="9"/>
        <w:rPr>
          <w:rFonts w:ascii="仿宋_GB2312" w:eastAsia="仿宋_GB2312"/>
          <w:b w:val="0"/>
          <w:sz w:val="28"/>
          <w:szCs w:val="28"/>
        </w:rPr>
      </w:pPr>
      <w:r>
        <w:rPr>
          <w:rFonts w:hint="eastAsia" w:ascii="仿宋_GB2312" w:eastAsia="仿宋_GB2312"/>
          <w:b w:val="0"/>
          <w:sz w:val="28"/>
          <w:szCs w:val="28"/>
        </w:rPr>
        <w:t>参赛选手应体现团队风貌、团队协作与沟通、组织与管理能力和工作计划能力等，并注意相关文档的准确性与规范性。</w:t>
      </w:r>
    </w:p>
    <w:p>
      <w:pPr>
        <w:pStyle w:val="6"/>
        <w:widowControl w:val="0"/>
        <w:wordWrap/>
        <w:adjustRightInd w:val="0"/>
        <w:snapToGrid w:val="0"/>
        <w:spacing w:before="0" w:after="0" w:line="560" w:lineRule="exact"/>
        <w:ind w:right="0" w:firstLine="560" w:firstLineChars="200"/>
        <w:jc w:val="both"/>
        <w:textAlignment w:val="auto"/>
        <w:outlineLvl w:val="9"/>
        <w:rPr>
          <w:rFonts w:ascii="仿宋_GB2312" w:eastAsia="仿宋_GB2312"/>
          <w:b w:val="0"/>
          <w:sz w:val="28"/>
          <w:szCs w:val="28"/>
        </w:rPr>
      </w:pPr>
      <w:r>
        <w:rPr>
          <w:rFonts w:hint="eastAsia" w:ascii="仿宋_GB2312" w:eastAsia="仿宋_GB2312"/>
          <w:b w:val="0"/>
          <w:sz w:val="28"/>
          <w:szCs w:val="28"/>
        </w:rPr>
        <w:t>竞赛过程中，参赛选手如有不服从裁判判决、扰乱赛场秩序、舞弊等不文明行为，由裁判组按照规定扣减相应分数，情节严重的取消竞赛资格。选手有下列情形，需从比赛成绩中扣分：</w:t>
      </w:r>
    </w:p>
    <w:p>
      <w:pPr>
        <w:pStyle w:val="6"/>
        <w:widowControl w:val="0"/>
        <w:wordWrap/>
        <w:adjustRightInd w:val="0"/>
        <w:snapToGrid w:val="0"/>
        <w:spacing w:before="0" w:after="0" w:line="560" w:lineRule="exact"/>
        <w:ind w:right="0" w:firstLine="560" w:firstLineChars="200"/>
        <w:jc w:val="both"/>
        <w:textAlignment w:val="auto"/>
        <w:outlineLvl w:val="9"/>
        <w:rPr>
          <w:rFonts w:ascii="仿宋_GB2312" w:eastAsia="仿宋_GB2312"/>
          <w:b w:val="0"/>
          <w:sz w:val="28"/>
          <w:szCs w:val="28"/>
        </w:rPr>
      </w:pPr>
      <w:r>
        <w:rPr>
          <w:rFonts w:hint="eastAsia" w:ascii="仿宋_GB2312" w:eastAsia="仿宋_GB2312"/>
          <w:b w:val="0"/>
          <w:sz w:val="28"/>
          <w:szCs w:val="28"/>
        </w:rPr>
        <w:t>1. 违反比赛规定，提前进行操作或比赛终止后仍继续操作的，由现场裁判负责记录并酌情扣1-5分。</w:t>
      </w:r>
    </w:p>
    <w:p>
      <w:pPr>
        <w:pStyle w:val="6"/>
        <w:widowControl w:val="0"/>
        <w:wordWrap/>
        <w:adjustRightInd w:val="0"/>
        <w:snapToGrid w:val="0"/>
        <w:spacing w:before="0" w:after="0" w:line="560" w:lineRule="exact"/>
        <w:ind w:right="0" w:firstLine="560" w:firstLineChars="200"/>
        <w:jc w:val="both"/>
        <w:textAlignment w:val="auto"/>
        <w:outlineLvl w:val="9"/>
        <w:rPr>
          <w:rFonts w:ascii="仿宋_GB2312" w:eastAsia="仿宋_GB2312"/>
          <w:b w:val="0"/>
          <w:sz w:val="28"/>
          <w:szCs w:val="28"/>
        </w:rPr>
      </w:pPr>
      <w:r>
        <w:rPr>
          <w:rFonts w:hint="eastAsia" w:ascii="仿宋_GB2312" w:eastAsia="仿宋_GB2312"/>
          <w:b w:val="0"/>
          <w:sz w:val="28"/>
          <w:szCs w:val="28"/>
        </w:rPr>
        <w:t>2. 在竞赛过程中，违反操作规程，影响其他选手比赛的，未造成设备损坏的参赛队，扣5-10分。</w:t>
      </w:r>
    </w:p>
    <w:p>
      <w:pPr>
        <w:pStyle w:val="6"/>
        <w:widowControl w:val="0"/>
        <w:wordWrap/>
        <w:adjustRightInd w:val="0"/>
        <w:snapToGrid w:val="0"/>
        <w:spacing w:before="0" w:after="0" w:line="560" w:lineRule="exact"/>
        <w:ind w:right="0" w:firstLine="560" w:firstLineChars="200"/>
        <w:jc w:val="both"/>
        <w:textAlignment w:val="auto"/>
        <w:outlineLvl w:val="9"/>
        <w:rPr>
          <w:rFonts w:ascii="仿宋_GB2312" w:eastAsia="仿宋_GB2312"/>
          <w:b w:val="0"/>
          <w:sz w:val="28"/>
          <w:szCs w:val="28"/>
        </w:rPr>
      </w:pPr>
      <w:r>
        <w:rPr>
          <w:rFonts w:hint="eastAsia" w:ascii="仿宋_GB2312" w:eastAsia="仿宋_GB2312"/>
          <w:b w:val="0"/>
          <w:sz w:val="28"/>
          <w:szCs w:val="28"/>
        </w:rPr>
        <w:t>3. 在竞赛过程中，造成设备损坏或影响他人比赛、情节严重的报竞赛执委会批准，终止该参赛队的比赛，竞赛成绩以0分计算。</w:t>
      </w:r>
    </w:p>
    <w:p>
      <w:pPr>
        <w:widowControl w:val="0"/>
        <w:wordWrap/>
        <w:spacing w:line="560" w:lineRule="exact"/>
        <w:ind w:right="0"/>
        <w:jc w:val="both"/>
        <w:textAlignment w:val="auto"/>
        <w:outlineLvl w:val="9"/>
        <w:rPr>
          <w:rFonts w:ascii="仿宋_GB2312" w:hAnsi="黑体" w:eastAsia="仿宋_GB2312"/>
          <w:b/>
          <w:bCs/>
          <w:sz w:val="28"/>
          <w:szCs w:val="28"/>
        </w:rPr>
      </w:pPr>
      <w:r>
        <w:rPr>
          <w:rFonts w:hint="eastAsia" w:ascii="仿宋_GB2312" w:hAnsi="黑体" w:eastAsia="仿宋_GB2312"/>
          <w:b/>
          <w:bCs/>
          <w:sz w:val="28"/>
          <w:szCs w:val="28"/>
          <w:lang w:val="en-US" w:eastAsia="zh-CN"/>
        </w:rPr>
        <w:t xml:space="preserve">    </w:t>
      </w:r>
      <w:r>
        <w:rPr>
          <w:rFonts w:hint="eastAsia" w:ascii="仿宋_GB2312" w:hAnsi="黑体" w:eastAsia="仿宋_GB2312"/>
          <w:b/>
          <w:bCs/>
          <w:sz w:val="28"/>
          <w:szCs w:val="28"/>
        </w:rPr>
        <w:t>十二、奖项设定</w:t>
      </w:r>
    </w:p>
    <w:p>
      <w:pPr>
        <w:pStyle w:val="6"/>
        <w:widowControl w:val="0"/>
        <w:wordWrap/>
        <w:adjustRightInd w:val="0"/>
        <w:snapToGrid w:val="0"/>
        <w:spacing w:before="0" w:after="0" w:line="560" w:lineRule="exact"/>
        <w:ind w:right="0" w:firstLine="560" w:firstLineChars="200"/>
        <w:jc w:val="both"/>
        <w:textAlignment w:val="auto"/>
        <w:outlineLvl w:val="9"/>
        <w:rPr>
          <w:rFonts w:ascii="仿宋_GB2312" w:eastAsia="仿宋_GB2312"/>
          <w:b w:val="0"/>
          <w:sz w:val="28"/>
          <w:szCs w:val="28"/>
        </w:rPr>
      </w:pPr>
      <w:r>
        <w:rPr>
          <w:rFonts w:hint="eastAsia" w:ascii="仿宋_GB2312" w:eastAsia="仿宋_GB2312"/>
          <w:b w:val="0"/>
          <w:sz w:val="28"/>
          <w:szCs w:val="28"/>
        </w:rPr>
        <w:t>赛项设参赛选手团体奖，</w:t>
      </w:r>
      <w:r>
        <w:rPr>
          <w:rFonts w:hint="eastAsia" w:ascii="仿宋_GB2312" w:eastAsia="仿宋_GB2312"/>
          <w:b w:val="0"/>
          <w:bCs w:val="0"/>
          <w:sz w:val="28"/>
          <w:szCs w:val="28"/>
        </w:rPr>
        <w:t>以赛项实际参赛队总数为基础，</w:t>
      </w:r>
      <w:r>
        <w:rPr>
          <w:rFonts w:hint="eastAsia" w:ascii="仿宋_GB2312" w:eastAsia="仿宋_GB2312"/>
          <w:b w:val="0"/>
          <w:sz w:val="28"/>
          <w:szCs w:val="28"/>
        </w:rPr>
        <w:t>一等奖占比10%，二等奖占比20%，三等奖占比30%，小数点后四舍五入。</w:t>
      </w:r>
    </w:p>
    <w:p>
      <w:pPr>
        <w:pStyle w:val="6"/>
        <w:widowControl w:val="0"/>
        <w:wordWrap/>
        <w:adjustRightInd w:val="0"/>
        <w:snapToGrid w:val="0"/>
        <w:spacing w:before="0" w:after="0" w:line="560" w:lineRule="exact"/>
        <w:ind w:right="0" w:firstLine="560" w:firstLineChars="200"/>
        <w:jc w:val="both"/>
        <w:textAlignment w:val="auto"/>
        <w:outlineLvl w:val="9"/>
        <w:rPr>
          <w:rFonts w:ascii="仿宋_GB2312" w:eastAsia="仿宋_GB2312"/>
          <w:b w:val="0"/>
          <w:sz w:val="28"/>
          <w:szCs w:val="28"/>
        </w:rPr>
      </w:pPr>
      <w:r>
        <w:rPr>
          <w:rFonts w:hint="eastAsia" w:ascii="仿宋_GB2312" w:eastAsia="仿宋_GB2312"/>
          <w:b w:val="0"/>
          <w:sz w:val="28"/>
          <w:szCs w:val="28"/>
        </w:rPr>
        <w:t>获得一等奖参赛队的指导教师由组委会颁发优秀指导教师证书。</w:t>
      </w:r>
    </w:p>
    <w:p>
      <w:pPr>
        <w:widowControl w:val="0"/>
        <w:wordWrap/>
        <w:spacing w:line="560" w:lineRule="exact"/>
        <w:ind w:right="0"/>
        <w:jc w:val="both"/>
        <w:textAlignment w:val="auto"/>
        <w:outlineLvl w:val="9"/>
        <w:rPr>
          <w:rFonts w:ascii="仿宋_GB2312" w:hAnsi="黑体" w:eastAsia="仿宋_GB2312"/>
          <w:b/>
          <w:sz w:val="28"/>
          <w:szCs w:val="28"/>
        </w:rPr>
      </w:pPr>
      <w:r>
        <w:rPr>
          <w:rFonts w:hint="eastAsia" w:ascii="仿宋_GB2312" w:hAnsi="黑体" w:eastAsia="仿宋_GB2312"/>
          <w:b/>
          <w:sz w:val="28"/>
          <w:szCs w:val="28"/>
          <w:lang w:val="en-US" w:eastAsia="zh-CN"/>
        </w:rPr>
        <w:t xml:space="preserve">    </w:t>
      </w:r>
      <w:r>
        <w:rPr>
          <w:rFonts w:hint="eastAsia" w:ascii="仿宋_GB2312" w:hAnsi="黑体" w:eastAsia="仿宋_GB2312"/>
          <w:b/>
          <w:sz w:val="28"/>
          <w:szCs w:val="28"/>
        </w:rPr>
        <w:t>十三、赛项安全</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赛事安全是全国职业院校技能大赛一切工作顺利开展的先决条件，是本赛项筹备和运行工作必须考虑的核心问题。</w:t>
      </w:r>
    </w:p>
    <w:p>
      <w:pPr>
        <w:widowControl w:val="0"/>
        <w:numPr>
          <w:ilvl w:val="0"/>
          <w:numId w:val="3"/>
        </w:numPr>
        <w:wordWrap/>
        <w:spacing w:line="560" w:lineRule="exact"/>
        <w:ind w:right="0"/>
        <w:jc w:val="both"/>
        <w:textAlignment w:val="auto"/>
        <w:outlineLvl w:val="9"/>
        <w:rPr>
          <w:rFonts w:ascii="仿宋_GB2312" w:hAnsi="仿宋" w:eastAsia="仿宋_GB2312"/>
          <w:sz w:val="28"/>
          <w:szCs w:val="28"/>
        </w:rPr>
      </w:pPr>
      <w:r>
        <w:rPr>
          <w:rFonts w:hint="eastAsia" w:ascii="仿宋_GB2312" w:hAnsi="仿宋" w:eastAsia="仿宋_GB2312"/>
          <w:sz w:val="28"/>
          <w:szCs w:val="28"/>
        </w:rPr>
        <w:t>组织机构</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赛项执委会组织专门机构负责赛区内赛项的安全工作，建立公安、消防、司法行政、交通、卫生、食品、质检等相关部门协调机制保证比赛安全，制定应急预案，及时处置突发事件。制定相应安全管理的规范、流程和突发事件应急预案，全过程保证比赛筹备和实施工作安全。</w:t>
      </w:r>
    </w:p>
    <w:p>
      <w:pPr>
        <w:widowControl w:val="0"/>
        <w:numPr>
          <w:ilvl w:val="0"/>
          <w:numId w:val="3"/>
        </w:numPr>
        <w:wordWrap/>
        <w:spacing w:line="560" w:lineRule="exact"/>
        <w:ind w:right="0"/>
        <w:jc w:val="both"/>
        <w:textAlignment w:val="auto"/>
        <w:outlineLvl w:val="9"/>
        <w:rPr>
          <w:rFonts w:ascii="仿宋_GB2312" w:hAnsi="仿宋" w:eastAsia="仿宋_GB2312"/>
          <w:sz w:val="28"/>
          <w:szCs w:val="28"/>
        </w:rPr>
      </w:pPr>
      <w:r>
        <w:rPr>
          <w:rFonts w:hint="eastAsia" w:ascii="仿宋_GB2312" w:hAnsi="仿宋" w:eastAsia="仿宋_GB2312"/>
          <w:sz w:val="28"/>
          <w:szCs w:val="28"/>
        </w:rPr>
        <w:t>赛项设计</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1. 比赛内容涉及的器材、设备应符合国家有关安全规定。赛项专家组应充分考虑比赛内容和所用器材、耗材可能存在的危险因素，通过完善设计规避风险，采取有效防范措施保证选手备赛和比赛安全。危险提示和防范措施应在赛项技术文件中加以明确。</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2. 赛项技术文件应包含国家（或行业）有关职业岗位安全的规范、条例和资格证书要求等内容。</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3. 赛项执委会须在赛前对本赛项全体裁判员进行裁判培训和安全培训，对服务人员进行安全培训。源于实际生产过程的赛项，须根据《中华人民共和国劳动法》等法律法规，建立完善的安全事故防范制度，并在赛前对选手进行培训，避免发生人身伤害事故。</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4. 赛项执委会须制定专门方案保证比赛命题、赛题保管和评判过程的安全。</w:t>
      </w:r>
    </w:p>
    <w:p>
      <w:pPr>
        <w:widowControl w:val="0"/>
        <w:numPr>
          <w:ilvl w:val="0"/>
          <w:numId w:val="3"/>
        </w:numPr>
        <w:wordWrap/>
        <w:spacing w:line="560" w:lineRule="exact"/>
        <w:ind w:right="0"/>
        <w:jc w:val="both"/>
        <w:textAlignment w:val="auto"/>
        <w:outlineLvl w:val="9"/>
        <w:rPr>
          <w:rFonts w:ascii="仿宋_GB2312" w:hAnsi="仿宋" w:eastAsia="仿宋_GB2312"/>
          <w:sz w:val="28"/>
          <w:szCs w:val="28"/>
        </w:rPr>
      </w:pPr>
      <w:r>
        <w:rPr>
          <w:rFonts w:hint="eastAsia" w:ascii="仿宋_GB2312" w:hAnsi="仿宋" w:eastAsia="仿宋_GB2312"/>
          <w:sz w:val="28"/>
          <w:szCs w:val="28"/>
        </w:rPr>
        <w:t>比赛环境</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1. 环境安全保障</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赛场组织与管理员应制定安保须知、安全隐患规避方法及突发事件预案，设立紧急疏散路线及通道等，确保比赛期间所有进入竞赛地点的车辆、人员需凭证入内；严禁携带易燃易爆物、管制刀具等危险品及比赛严令禁止的其他物品进入场地；对于紧急发生的拥挤、踩踏、地震、火灾等进行紧急有效的处置。</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2. 信息安全保障</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安装UPS：采用UPS防止现场因突然断电导致的系统数据丢失，额定功率：3KVA，后备时间：2小时，电池类型：输出电压：230V±5%V；市电采用双路供电。</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3. 操作安全保障</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赛前要对选手进行计算机、网络设备、工具等操作的安全培训，进行安全操作的宣讲，确保每个队员能够安全操作设备后方可进行比赛。裁判员在比赛前，宣读安全注意事项，强调用火、用电安全规则。</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整个大赛过程邀请当地公安系统、卫生系统和保险系统协助支持。</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参赛队：由各省市负责参赛选手旅途及竞赛过程中的安全保障。</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4. 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执委会要求排除安全隐患。</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5. 赛场周围要设立警戒线，防止无关人员进入发生意外事件。比赛现场内应参照相关职业岗位的要求为选手提供必要的劳动保护。在具有危险性的操作环节，裁判员要严防选手出现错误操作。</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6. 承办单位应提供保证应急预案实施的条件。对于比赛内容涉及高空作业、可能有坠物、大用电量、易发生火灾等情况的赛项，必须明确制度和预案，并配备急救人员与设施。</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7. 赛项执委会须会同承办单位制定开放赛场和体验区的人员疏导方案。赛场环境中存在人员密集、车流人流交错的区域，除了设置齐全的指示标志外，须增加引导人员，并开辟备用通道。</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8. 大赛期间，赛项承办单位须在赛场管理的关键岗位，增加力量，建立安全管理日志。</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9. 参赛选手进入赛位、赛事裁判工作人员进入工作场所，严禁携带通讯、照相摄录设备，禁止携带记录用具。如确有需要，由赛场统一配置、统一管理。赛项可根据需要配置安检设备对进入赛场重要部位的人员进行安检。</w:t>
      </w:r>
    </w:p>
    <w:p>
      <w:pPr>
        <w:widowControl w:val="0"/>
        <w:numPr>
          <w:ilvl w:val="0"/>
          <w:numId w:val="3"/>
        </w:numPr>
        <w:wordWrap/>
        <w:spacing w:line="560" w:lineRule="exact"/>
        <w:ind w:right="0"/>
        <w:jc w:val="both"/>
        <w:textAlignment w:val="auto"/>
        <w:outlineLvl w:val="9"/>
        <w:rPr>
          <w:rFonts w:ascii="仿宋_GB2312" w:hAnsi="仿宋" w:eastAsia="仿宋_GB2312"/>
          <w:sz w:val="28"/>
          <w:szCs w:val="28"/>
        </w:rPr>
      </w:pPr>
      <w:r>
        <w:rPr>
          <w:rFonts w:hint="eastAsia" w:ascii="仿宋_GB2312" w:hAnsi="仿宋" w:eastAsia="仿宋_GB2312"/>
          <w:sz w:val="28"/>
          <w:szCs w:val="28"/>
        </w:rPr>
        <w:t>生活条件</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1. 比赛期间，原则上由赛事承办单位统一安排参赛选手和指导教师食宿。承办单位须尊重少数民族的信仰及文化，根据国家相关的民族政策，安排好少数民族选手和教师的饮食起居。</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2. 比赛期间安排的住宿地应具有宾馆/住宿经营许可资质。以学校宿舍作为住宿地的，大赛期间的住宿、卫生、饮食安全等由赛项执委会和提供宿舍的学校共同负责。</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3. 大赛期间有组织的参观和观摩活动的交通安全由赛区组委会负责。赛项执委会和承办单位须保证比赛期间选手、指导教师和裁判员、工作人员的交通安全。</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4. 各赛项的安全管理，除了可以采取必要的安全隔离措施外，应严格遵守国家相关法律法规，保护个人隐私和人身自由。</w:t>
      </w:r>
    </w:p>
    <w:p>
      <w:pPr>
        <w:widowControl w:val="0"/>
        <w:numPr>
          <w:ilvl w:val="0"/>
          <w:numId w:val="3"/>
        </w:numPr>
        <w:wordWrap/>
        <w:spacing w:line="560" w:lineRule="exact"/>
        <w:ind w:right="0"/>
        <w:jc w:val="both"/>
        <w:textAlignment w:val="auto"/>
        <w:outlineLvl w:val="9"/>
        <w:rPr>
          <w:rFonts w:ascii="仿宋_GB2312" w:hAnsi="仿宋" w:eastAsia="仿宋_GB2312"/>
          <w:sz w:val="28"/>
          <w:szCs w:val="28"/>
        </w:rPr>
      </w:pPr>
      <w:r>
        <w:rPr>
          <w:rFonts w:hint="eastAsia" w:ascii="仿宋_GB2312" w:hAnsi="仿宋" w:eastAsia="仿宋_GB2312"/>
          <w:sz w:val="28"/>
          <w:szCs w:val="28"/>
        </w:rPr>
        <w:t>组队责任</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1. 各省、自治区、直辖市和计划单列市在组织参赛队时，须安排为参赛选手购买大赛期间的人身意外伤害保险。</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2. 各省、自治区、直辖市和计划单列市参赛队组成后，须制定相关管理制度，并对所有选手、指导教师进行安全教育。</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3. 各参赛队领队须加强参赛人员的安全管理，实现与赛场安全管理的对接。</w:t>
      </w:r>
    </w:p>
    <w:p>
      <w:pPr>
        <w:widowControl w:val="0"/>
        <w:numPr>
          <w:ilvl w:val="0"/>
          <w:numId w:val="3"/>
        </w:numPr>
        <w:wordWrap/>
        <w:spacing w:line="560" w:lineRule="exact"/>
        <w:ind w:right="0"/>
        <w:jc w:val="both"/>
        <w:textAlignment w:val="auto"/>
        <w:outlineLvl w:val="9"/>
        <w:rPr>
          <w:rFonts w:ascii="仿宋_GB2312" w:hAnsi="仿宋" w:eastAsia="仿宋_GB2312"/>
          <w:sz w:val="28"/>
          <w:szCs w:val="28"/>
        </w:rPr>
      </w:pPr>
      <w:r>
        <w:rPr>
          <w:rFonts w:hint="eastAsia" w:ascii="仿宋_GB2312" w:hAnsi="仿宋" w:eastAsia="仿宋_GB2312"/>
          <w:sz w:val="28"/>
          <w:szCs w:val="28"/>
        </w:rPr>
        <w:t>应急处理</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比赛期间发生意外事故，发现者应第一时间报告赛项执委会，同时采取措施避免事态扩大。赛项执委会应立即启动预案予以解决并向赛区执委会报告。出现重大安全问题的赛项可以停赛，是否停赛由赛区组委会决定。事后，赛区执委会应向大赛执委会报告详细情况。</w:t>
      </w:r>
    </w:p>
    <w:p>
      <w:pPr>
        <w:widowControl w:val="0"/>
        <w:numPr>
          <w:ilvl w:val="0"/>
          <w:numId w:val="3"/>
        </w:numPr>
        <w:wordWrap/>
        <w:spacing w:line="560" w:lineRule="exact"/>
        <w:ind w:right="0"/>
        <w:jc w:val="both"/>
        <w:textAlignment w:val="auto"/>
        <w:outlineLvl w:val="9"/>
        <w:rPr>
          <w:rFonts w:ascii="仿宋_GB2312" w:hAnsi="仿宋" w:eastAsia="仿宋_GB2312"/>
          <w:sz w:val="28"/>
          <w:szCs w:val="28"/>
        </w:rPr>
      </w:pPr>
      <w:r>
        <w:rPr>
          <w:rFonts w:hint="eastAsia" w:ascii="仿宋_GB2312" w:hAnsi="仿宋" w:eastAsia="仿宋_GB2312"/>
          <w:sz w:val="28"/>
          <w:szCs w:val="28"/>
        </w:rPr>
        <w:t>处罚措施</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1. 赛项出现重大安全事故的，停止承办单位的赛项承办资格。</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2. 因参赛队伍原因造成重大安全事故的，取消其参赛资格。</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3. 参赛队伍有发生重大安全事故隐患，经赛场工作人员提示、警告无效的，可取消其继续比赛的资格。</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4. 赛事工作人员违规的，按照相应的制度追究责任。情节恶劣并造成重大安全事故的，由司法机关追究相应法律责任。</w:t>
      </w:r>
    </w:p>
    <w:p>
      <w:pPr>
        <w:widowControl w:val="0"/>
        <w:wordWrap/>
        <w:spacing w:line="560" w:lineRule="exact"/>
        <w:ind w:right="0"/>
        <w:jc w:val="both"/>
        <w:textAlignment w:val="auto"/>
        <w:outlineLvl w:val="9"/>
        <w:rPr>
          <w:rFonts w:ascii="仿宋_GB2312" w:hAnsi="黑体" w:eastAsia="仿宋_GB2312"/>
          <w:b/>
          <w:sz w:val="28"/>
          <w:szCs w:val="28"/>
        </w:rPr>
      </w:pPr>
      <w:r>
        <w:rPr>
          <w:rFonts w:hint="eastAsia" w:ascii="仿宋_GB2312" w:hAnsi="黑体" w:eastAsia="仿宋_GB2312"/>
          <w:b/>
          <w:sz w:val="28"/>
          <w:szCs w:val="28"/>
          <w:lang w:val="en-US" w:eastAsia="zh-CN"/>
        </w:rPr>
        <w:t xml:space="preserve">    </w:t>
      </w:r>
      <w:r>
        <w:rPr>
          <w:rFonts w:hint="eastAsia" w:ascii="仿宋_GB2312" w:hAnsi="黑体" w:eastAsia="仿宋_GB2312"/>
          <w:b/>
          <w:sz w:val="28"/>
          <w:szCs w:val="28"/>
        </w:rPr>
        <w:t>十四、申诉与仲裁</w:t>
      </w:r>
    </w:p>
    <w:p>
      <w:pPr>
        <w:widowControl w:val="0"/>
        <w:wordWrap/>
        <w:spacing w:line="560" w:lineRule="exact"/>
        <w:ind w:right="0" w:firstLine="560" w:firstLineChars="200"/>
        <w:jc w:val="both"/>
        <w:textAlignment w:val="auto"/>
        <w:outlineLvl w:val="9"/>
        <w:rPr>
          <w:rFonts w:ascii="仿宋_GB2312" w:hAnsi="黑体" w:eastAsia="仿宋_GB2312"/>
          <w:sz w:val="28"/>
          <w:szCs w:val="28"/>
        </w:rPr>
      </w:pPr>
      <w:r>
        <w:rPr>
          <w:rFonts w:hint="eastAsia" w:ascii="仿宋_GB2312" w:hAnsi="仿宋" w:eastAsia="仿宋_GB2312"/>
          <w:sz w:val="28"/>
          <w:szCs w:val="28"/>
        </w:rPr>
        <w:t>在比赛过程中若出现有失公正或有关人员违规等现象，参赛队领队可在比赛结束后2小时之内向仲裁组提出书面申诉。大赛采取两级仲裁机制。赛项设仲裁工作组，赛区设仲裁委员会。大赛执委会办公室选派人员参加赛区仲裁委员会工作。赛项仲裁工作组在接到申诉后的2小时内组织复议，并及时反馈复议结果。申诉方对复议结果仍有异议，可由省（市）领队向赛区仲裁委员会提出申诉。赛区仲裁委员会的仲裁结果为最终结果。</w:t>
      </w:r>
    </w:p>
    <w:p>
      <w:pPr>
        <w:widowControl w:val="0"/>
        <w:wordWrap/>
        <w:spacing w:line="560" w:lineRule="exact"/>
        <w:ind w:right="0"/>
        <w:jc w:val="both"/>
        <w:textAlignment w:val="auto"/>
        <w:outlineLvl w:val="9"/>
        <w:rPr>
          <w:rFonts w:ascii="仿宋_GB2312" w:hAnsi="黑体" w:eastAsia="仿宋_GB2312"/>
          <w:b/>
          <w:sz w:val="28"/>
          <w:szCs w:val="28"/>
        </w:rPr>
      </w:pPr>
      <w:r>
        <w:rPr>
          <w:rFonts w:hint="eastAsia" w:ascii="仿宋_GB2312" w:hAnsi="黑体" w:eastAsia="仿宋_GB2312"/>
          <w:b/>
          <w:sz w:val="28"/>
          <w:szCs w:val="28"/>
          <w:lang w:val="en-US" w:eastAsia="zh-CN"/>
        </w:rPr>
        <w:t xml:space="preserve">    </w:t>
      </w:r>
      <w:r>
        <w:rPr>
          <w:rFonts w:hint="eastAsia" w:ascii="仿宋_GB2312" w:hAnsi="黑体" w:eastAsia="仿宋_GB2312"/>
          <w:b/>
          <w:sz w:val="28"/>
          <w:szCs w:val="28"/>
        </w:rPr>
        <w:t>十五、竞赛观摩</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本赛项将会设计观摩区，使用大屏幕实时显示信息安全攻防对战的进度。</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竞赛环境依据竞赛需求和职业特点设计，在竞赛不被干扰的前提下安全开放部分赛场。观摩人员需佩戴观摩证件在工作人员带领下沿指定路线、在指定区域内到现场观赛。</w:t>
      </w:r>
    </w:p>
    <w:p>
      <w:pPr>
        <w:widowControl w:val="0"/>
        <w:wordWrap/>
        <w:spacing w:line="560" w:lineRule="exact"/>
        <w:ind w:right="0"/>
        <w:jc w:val="both"/>
        <w:textAlignment w:val="auto"/>
        <w:outlineLvl w:val="9"/>
        <w:rPr>
          <w:rFonts w:ascii="仿宋_GB2312" w:hAnsi="黑体" w:eastAsia="仿宋_GB2312"/>
          <w:b/>
          <w:sz w:val="28"/>
          <w:szCs w:val="28"/>
        </w:rPr>
      </w:pPr>
      <w:r>
        <w:rPr>
          <w:rFonts w:hint="eastAsia" w:ascii="仿宋_GB2312" w:hAnsi="黑体" w:eastAsia="仿宋_GB2312"/>
          <w:b/>
          <w:sz w:val="28"/>
          <w:szCs w:val="28"/>
          <w:lang w:val="en-US" w:eastAsia="zh-CN"/>
        </w:rPr>
        <w:t xml:space="preserve">    </w:t>
      </w:r>
      <w:r>
        <w:rPr>
          <w:rFonts w:hint="eastAsia" w:ascii="仿宋_GB2312" w:hAnsi="黑体" w:eastAsia="仿宋_GB2312"/>
          <w:b/>
          <w:sz w:val="28"/>
          <w:szCs w:val="28"/>
        </w:rPr>
        <w:t>十六、竞赛视频</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赛项全程录像。</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本赛项赛前对赛题保密、设备安装调试、软件安装等关键环节进行实况摄录。</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本赛项竞赛过程采用全程摄录的形式，对比赛的开闭幕式、比赛过程、手工评卷等过程进行全程实况转播。</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本赛况在赛后将制作大赛制作优秀选手采访、优秀指导教师采访、裁判专家点评和企业人士采访视频资料。</w:t>
      </w:r>
    </w:p>
    <w:p>
      <w:pPr>
        <w:widowControl w:val="0"/>
        <w:wordWrap/>
        <w:spacing w:line="560" w:lineRule="exact"/>
        <w:ind w:right="0"/>
        <w:jc w:val="both"/>
        <w:textAlignment w:val="auto"/>
        <w:outlineLvl w:val="9"/>
        <w:rPr>
          <w:rFonts w:ascii="仿宋_GB2312" w:hAnsi="黑体" w:eastAsia="仿宋_GB2312"/>
          <w:b/>
          <w:sz w:val="28"/>
          <w:szCs w:val="28"/>
        </w:rPr>
      </w:pPr>
      <w:r>
        <w:rPr>
          <w:rFonts w:hint="eastAsia" w:ascii="仿宋_GB2312" w:hAnsi="黑体" w:eastAsia="仿宋_GB2312"/>
          <w:b/>
          <w:sz w:val="28"/>
          <w:szCs w:val="28"/>
          <w:lang w:val="en-US" w:eastAsia="zh-CN"/>
        </w:rPr>
        <w:t xml:space="preserve">    </w:t>
      </w:r>
      <w:r>
        <w:rPr>
          <w:rFonts w:hint="eastAsia" w:ascii="仿宋_GB2312" w:hAnsi="黑体" w:eastAsia="仿宋_GB2312"/>
          <w:b/>
          <w:sz w:val="28"/>
          <w:szCs w:val="28"/>
        </w:rPr>
        <w:t>十七、竞赛须知</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（一）参赛队须知</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1. 各参赛队要发扬良好道德风尚，听从指挥，服从裁判，不弄虚作假。如发现弄虚作假者，取消参赛资格，名次无效。</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2. 各参赛队领队要坚决执行竞赛的各项规定，加强对参赛人员的管理，做好赛前准备工作，督促选手带好证件等竞赛相关材料。</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3. 竞赛过程中，除参加当场次竞赛的选手、执行裁判员、现场工作人员和经批准的人员外，领队、指导教师及其他人员一律不得进入竞赛现 场。</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4. 参赛队若对竞赛过程有异议，在规定的时间内由领队向赛项仲裁工作组提出书面报告。</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5. 对申诉的仲裁结果，领队要带头服从和执行，并做好选手工作。参赛选手不得因申诉或处理意见不服而停止竞赛，否则以弃权处理。</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6. 指导老师应及时查看大赛专用网页有关赛项的通知和内容，认真研究和掌握本赛项竞赛的规程、技术规范和赛场要求，指导选手做好赛前的一切技术准备和竞赛准备。</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7. 参赛队领队应对本队参赛队员和指导教师的参赛期间安全负责，参赛学校须为参赛选手和指导教师购买意外保险。</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8. 领队和指导教师应在赛后做好赛事总结和工作总结。</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（二）参赛选手须知</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1. 参赛选手应按有关要求如实填报个人信息，否则取消竞赛资格。</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2. 参赛选手需持统一印制的参赛证和有效身份证件参加竞赛。</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3. 参加选手应认真学习领会本次竞赛相关文件，自觉遵守大赛纪律，服从指挥，听从安排，文明参赛。</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4. 参加选手请勿携带与竞赛无关的电子设备、通讯设备及其他资料与用品进入赛场。</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5. 参赛选手应按照规定时间抵达赛场，凭参赛证、身份证件检录，按要求入场，不得迟到早退。</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6. 参赛选手应增强角色意识，科学合理分工与合作。</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7. 参赛选手应按有关要求在指定位置就坐。</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8. 参赛选手须在确认竞赛内容和现场设备等无误后开始竞赛。在竞赛过程中，确因计算机软件或硬件故障，只是操作无法继续的，经项目裁判长确认，予以启用备用计算机。</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9. 各参赛选手必须按规范要求操作竞赛设备。一旦出现较严重的安全事故，经总裁判长批准后将立即取消其参赛资格。</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10. 参赛选手需详细阅读赛题中竞赛文档命名的要求，不得在提交的竞赛文档中标识出任何关于参赛选手地名、校名、姓名、参赛编号等信息，否则取消竞赛成绩。</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11. 竞赛时间终了，选手应全体起立，结束操作。将资料和工具整齐摆放在操作平台上，经工作人员清点后可离开赛场，离开赛场时不得带走任何资料。</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12. 在竞赛期间，未经执委会批准，参赛选手不得接受其他单位和个人进行的与竞赛内容相关的采访。参赛选手不得将竞赛的相关信息私自公布。</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（三）评分人员须知</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1. 评分采用手工评分和计算机系统自动评分相结合的方式。</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2. 评分人员要认真阅读评分细则，严格执行评分标准，准确量分。</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3. 评分人员要严格按照评分细则的规定评分，及时、准确地将评分结果记录在相应的评分登记表中，并签名。</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4. 评分人员在评分过程中存在疑问时，应及时向项目裁判长咨询。</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5. 评分人员在评分过程中发现的试卷问题，应及时向项目裁判长报告。</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6. 计算机系统自动评分部分的分值设置要与评分标准和评分细则一致。</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7. 计算机内所有参赛队分值设置均为零，无基础分值。</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（四）工作人员须知</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1. 树立服务观念，一切为选手着想，以高度负责的精神、严肃认真的态度和严谨细致的作风，在赛项执委会的领导下，按照各自职责分工和要求认真做好岗位工作。</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2. 所有工作人员必须佩带证件，忠于职守，秉公办理，保守秘密。</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3. 注意文明礼貌，保持良好形象，熟悉赛项指南。</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4. 自觉遵守赛项纪律和规则，服从调配和分工，确保竞赛工作的顺利进行。</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5. 提前30分钟到达赛场，严守工作岗位，不迟到，不早退，不得无故离岗，特殊情况需向工作组组长请假。</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6. 熟悉竞赛规程，严格按照工作程序和有关规定办事，遇突发事件，按照应急预案，组织指挥人员疏散，确保人员安全。</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7. 工作人员在竞赛中若有舞弊行为，立即撤销其工作资格，并严肃处理。</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8. 保持通讯畅通，服从统一领导，严格遵守竞赛纪律，加强协作配合，提高工作效率。</w:t>
      </w:r>
    </w:p>
    <w:p>
      <w:pPr>
        <w:widowControl w:val="0"/>
        <w:wordWrap/>
        <w:spacing w:line="560" w:lineRule="exact"/>
        <w:ind w:right="0"/>
        <w:jc w:val="both"/>
        <w:textAlignment w:val="auto"/>
        <w:outlineLvl w:val="9"/>
        <w:rPr>
          <w:rFonts w:ascii="仿宋_GB2312" w:hAnsi="黑体" w:eastAsia="仿宋_GB2312"/>
          <w:b/>
          <w:sz w:val="28"/>
          <w:szCs w:val="28"/>
        </w:rPr>
      </w:pPr>
      <w:r>
        <w:rPr>
          <w:rFonts w:hint="eastAsia" w:ascii="仿宋_GB2312" w:hAnsi="黑体" w:eastAsia="仿宋_GB2312"/>
          <w:b/>
          <w:sz w:val="28"/>
          <w:szCs w:val="28"/>
          <w:lang w:val="en-US" w:eastAsia="zh-CN"/>
        </w:rPr>
        <w:t xml:space="preserve">    </w:t>
      </w:r>
      <w:r>
        <w:rPr>
          <w:rFonts w:hint="eastAsia" w:ascii="仿宋_GB2312" w:hAnsi="黑体" w:eastAsia="仿宋_GB2312"/>
          <w:b/>
          <w:sz w:val="28"/>
          <w:szCs w:val="28"/>
        </w:rPr>
        <w:t>十八、资源转化</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“以赛促教、以赛促改、以赛促学”是全国职业院校技能大赛的重要目的。将竞赛内容成功转化为教学资源无疑是实现这一目的的重要保障。2015年拟制定如下教学资源转化方案：</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1. 信息安全技术专业教学资源包</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在2015年组织企业和专家更新高等职业信息安全技术专业教学资源包，系统的梳理信息安全技术专业的培养目标、岗位需求、课程体系、核心知识点及历年竞赛考核内容与要点，并结合技术发展趋势对未来的竞赛内容设置进行权威预测。</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2. 师资培训</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结合全国骨干教师国家级培训和省市级培训需求，2015年计划在全国举办20场信息安全技术专业师资认证培训。</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3. 信息安全技术专业系列教材</w:t>
      </w:r>
    </w:p>
    <w:p>
      <w:pPr>
        <w:widowControl w:val="0"/>
        <w:wordWrap/>
        <w:adjustRightInd w:val="0"/>
        <w:snapToGrid w:val="0"/>
        <w:spacing w:line="560" w:lineRule="exact"/>
        <w:ind w:right="0" w:firstLine="560" w:firstLineChars="200"/>
        <w:jc w:val="both"/>
        <w:textAlignment w:val="auto"/>
        <w:outlineLvl w:val="9"/>
        <w:rPr>
          <w:rFonts w:ascii="仿宋_GB2312" w:hAnsi="仿宋" w:eastAsia="仿宋_GB2312"/>
          <w:sz w:val="28"/>
          <w:szCs w:val="28"/>
        </w:rPr>
      </w:pPr>
      <w:r>
        <w:rPr>
          <w:rFonts w:hint="eastAsia" w:ascii="仿宋_GB2312" w:hAnsi="仿宋" w:eastAsia="仿宋_GB2312"/>
          <w:sz w:val="28"/>
          <w:szCs w:val="28"/>
        </w:rPr>
        <w:t>在2015年依托大赛，围绕高职电子信息大类专业建设协作组的工作，开发一套融入大赛思想的，体现“新设备、新技术、新标准”的实用型系列教材及教辅。</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27284690">
    <w:nsid w:val="314F5CD2"/>
    <w:multiLevelType w:val="multilevel"/>
    <w:tmpl w:val="314F5CD2"/>
    <w:lvl w:ilvl="0" w:tentative="1">
      <w:start w:val="1"/>
      <w:numFmt w:val="decimal"/>
      <w:suff w:val="space"/>
      <w:lvlText w:val="%1."/>
      <w:lvlJc w:val="left"/>
      <w:pPr>
        <w:ind w:left="1555" w:hanging="420"/>
      </w:pPr>
      <w:rPr>
        <w:rFonts w:hint="eastAsia"/>
      </w:rPr>
    </w:lvl>
    <w:lvl w:ilvl="1" w:tentative="1">
      <w:start w:val="1"/>
      <w:numFmt w:val="lowerLetter"/>
      <w:lvlText w:val="%2)"/>
      <w:lvlJc w:val="left"/>
      <w:pPr>
        <w:ind w:left="1975" w:hanging="420"/>
      </w:pPr>
    </w:lvl>
    <w:lvl w:ilvl="2" w:tentative="1">
      <w:start w:val="1"/>
      <w:numFmt w:val="lowerRoman"/>
      <w:lvlText w:val="%3."/>
      <w:lvlJc w:val="right"/>
      <w:pPr>
        <w:ind w:left="2395" w:hanging="420"/>
      </w:pPr>
    </w:lvl>
    <w:lvl w:ilvl="3" w:tentative="1">
      <w:start w:val="1"/>
      <w:numFmt w:val="decimal"/>
      <w:lvlText w:val="%4."/>
      <w:lvlJc w:val="left"/>
      <w:pPr>
        <w:ind w:left="2815" w:hanging="420"/>
      </w:pPr>
    </w:lvl>
    <w:lvl w:ilvl="4" w:tentative="1">
      <w:start w:val="1"/>
      <w:numFmt w:val="lowerLetter"/>
      <w:lvlText w:val="%5)"/>
      <w:lvlJc w:val="left"/>
      <w:pPr>
        <w:ind w:left="3235" w:hanging="420"/>
      </w:pPr>
    </w:lvl>
    <w:lvl w:ilvl="5" w:tentative="1">
      <w:start w:val="1"/>
      <w:numFmt w:val="lowerRoman"/>
      <w:lvlText w:val="%6."/>
      <w:lvlJc w:val="right"/>
      <w:pPr>
        <w:ind w:left="3655" w:hanging="420"/>
      </w:pPr>
    </w:lvl>
    <w:lvl w:ilvl="6" w:tentative="1">
      <w:start w:val="1"/>
      <w:numFmt w:val="decimal"/>
      <w:lvlText w:val="%7."/>
      <w:lvlJc w:val="left"/>
      <w:pPr>
        <w:ind w:left="4075" w:hanging="420"/>
      </w:pPr>
    </w:lvl>
    <w:lvl w:ilvl="7" w:tentative="1">
      <w:start w:val="1"/>
      <w:numFmt w:val="lowerLetter"/>
      <w:lvlText w:val="%8)"/>
      <w:lvlJc w:val="left"/>
      <w:pPr>
        <w:ind w:left="4495" w:hanging="420"/>
      </w:pPr>
    </w:lvl>
    <w:lvl w:ilvl="8" w:tentative="1">
      <w:start w:val="1"/>
      <w:numFmt w:val="lowerRoman"/>
      <w:lvlText w:val="%9."/>
      <w:lvlJc w:val="right"/>
      <w:pPr>
        <w:ind w:left="4915" w:hanging="420"/>
      </w:pPr>
    </w:lvl>
  </w:abstractNum>
  <w:abstractNum w:abstractNumId="587081836">
    <w:nsid w:val="22FE286C"/>
    <w:multiLevelType w:val="multilevel"/>
    <w:tmpl w:val="22FE286C"/>
    <w:lvl w:ilvl="0" w:tentative="1">
      <w:start w:val="1"/>
      <w:numFmt w:val="decimal"/>
      <w:suff w:val="space"/>
      <w:lvlText w:val="%1."/>
      <w:lvlJc w:val="left"/>
      <w:pPr>
        <w:ind w:left="2688" w:hanging="420"/>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475946470">
    <w:nsid w:val="57F927E6"/>
    <w:multiLevelType w:val="multilevel"/>
    <w:tmpl w:val="57F927E6"/>
    <w:lvl w:ilvl="0" w:tentative="1">
      <w:start w:val="1"/>
      <w:numFmt w:val="japaneseCounting"/>
      <w:lvlText w:val="（%1）"/>
      <w:lvlJc w:val="left"/>
      <w:pPr>
        <w:tabs>
          <w:tab w:val="left" w:pos="1425"/>
        </w:tabs>
        <w:ind w:left="1425" w:hanging="855"/>
      </w:pPr>
      <w:rPr>
        <w:rFonts w:hint="default"/>
      </w:rPr>
    </w:lvl>
    <w:lvl w:ilvl="1" w:tentative="1">
      <w:start w:val="1"/>
      <w:numFmt w:val="lowerLetter"/>
      <w:lvlText w:val="%2)"/>
      <w:lvlJc w:val="left"/>
      <w:pPr>
        <w:tabs>
          <w:tab w:val="left" w:pos="1410"/>
        </w:tabs>
        <w:ind w:left="1410" w:hanging="420"/>
      </w:pPr>
    </w:lvl>
    <w:lvl w:ilvl="2" w:tentative="1">
      <w:start w:val="1"/>
      <w:numFmt w:val="lowerRoman"/>
      <w:lvlText w:val="%3."/>
      <w:lvlJc w:val="right"/>
      <w:pPr>
        <w:tabs>
          <w:tab w:val="left" w:pos="1830"/>
        </w:tabs>
        <w:ind w:left="1830" w:hanging="420"/>
      </w:pPr>
    </w:lvl>
    <w:lvl w:ilvl="3" w:tentative="1">
      <w:start w:val="1"/>
      <w:numFmt w:val="decimal"/>
      <w:lvlText w:val="%4."/>
      <w:lvlJc w:val="left"/>
      <w:pPr>
        <w:tabs>
          <w:tab w:val="left" w:pos="2250"/>
        </w:tabs>
        <w:ind w:left="2250" w:hanging="420"/>
      </w:pPr>
    </w:lvl>
    <w:lvl w:ilvl="4" w:tentative="1">
      <w:start w:val="1"/>
      <w:numFmt w:val="lowerLetter"/>
      <w:lvlText w:val="%5)"/>
      <w:lvlJc w:val="left"/>
      <w:pPr>
        <w:tabs>
          <w:tab w:val="left" w:pos="2670"/>
        </w:tabs>
        <w:ind w:left="2670" w:hanging="420"/>
      </w:pPr>
    </w:lvl>
    <w:lvl w:ilvl="5" w:tentative="1">
      <w:start w:val="1"/>
      <w:numFmt w:val="lowerRoman"/>
      <w:lvlText w:val="%6."/>
      <w:lvlJc w:val="right"/>
      <w:pPr>
        <w:tabs>
          <w:tab w:val="left" w:pos="3090"/>
        </w:tabs>
        <w:ind w:left="3090" w:hanging="420"/>
      </w:pPr>
    </w:lvl>
    <w:lvl w:ilvl="6" w:tentative="1">
      <w:start w:val="1"/>
      <w:numFmt w:val="decimal"/>
      <w:lvlText w:val="%7."/>
      <w:lvlJc w:val="left"/>
      <w:pPr>
        <w:tabs>
          <w:tab w:val="left" w:pos="3510"/>
        </w:tabs>
        <w:ind w:left="3510" w:hanging="420"/>
      </w:pPr>
    </w:lvl>
    <w:lvl w:ilvl="7" w:tentative="1">
      <w:start w:val="1"/>
      <w:numFmt w:val="lowerLetter"/>
      <w:lvlText w:val="%8)"/>
      <w:lvlJc w:val="left"/>
      <w:pPr>
        <w:tabs>
          <w:tab w:val="left" w:pos="3930"/>
        </w:tabs>
        <w:ind w:left="3930" w:hanging="420"/>
      </w:pPr>
    </w:lvl>
    <w:lvl w:ilvl="8" w:tentative="1">
      <w:start w:val="1"/>
      <w:numFmt w:val="lowerRoman"/>
      <w:lvlText w:val="%9."/>
      <w:lvlJc w:val="right"/>
      <w:pPr>
        <w:tabs>
          <w:tab w:val="left" w:pos="4350"/>
        </w:tabs>
        <w:ind w:left="4350" w:hanging="420"/>
      </w:pPr>
    </w:lvl>
  </w:abstractNum>
  <w:num w:numId="1">
    <w:abstractNumId w:val="827284690"/>
  </w:num>
  <w:num w:numId="2">
    <w:abstractNumId w:val="587081836"/>
  </w:num>
  <w:num w:numId="3">
    <w:abstractNumId w:val="14759464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A115A"/>
    <w:rsid w:val="00016C34"/>
    <w:rsid w:val="00036B41"/>
    <w:rsid w:val="00057DBA"/>
    <w:rsid w:val="00077D91"/>
    <w:rsid w:val="000C6F0B"/>
    <w:rsid w:val="000F1FBA"/>
    <w:rsid w:val="000F37FB"/>
    <w:rsid w:val="000F3FE3"/>
    <w:rsid w:val="0010281F"/>
    <w:rsid w:val="00113D10"/>
    <w:rsid w:val="00120F91"/>
    <w:rsid w:val="0013257A"/>
    <w:rsid w:val="001339F4"/>
    <w:rsid w:val="00144D09"/>
    <w:rsid w:val="00161DD6"/>
    <w:rsid w:val="00164FDF"/>
    <w:rsid w:val="00171D11"/>
    <w:rsid w:val="00175C34"/>
    <w:rsid w:val="001859ED"/>
    <w:rsid w:val="001C2E27"/>
    <w:rsid w:val="001D1C07"/>
    <w:rsid w:val="001F1040"/>
    <w:rsid w:val="002030CD"/>
    <w:rsid w:val="00224AF8"/>
    <w:rsid w:val="00244031"/>
    <w:rsid w:val="00244B65"/>
    <w:rsid w:val="00266176"/>
    <w:rsid w:val="00266881"/>
    <w:rsid w:val="00267A9E"/>
    <w:rsid w:val="002A2502"/>
    <w:rsid w:val="002A7112"/>
    <w:rsid w:val="002B1257"/>
    <w:rsid w:val="002C47EA"/>
    <w:rsid w:val="002D3751"/>
    <w:rsid w:val="002D60D7"/>
    <w:rsid w:val="002D7F35"/>
    <w:rsid w:val="002E48FC"/>
    <w:rsid w:val="002E708C"/>
    <w:rsid w:val="00344387"/>
    <w:rsid w:val="0034471E"/>
    <w:rsid w:val="00360B24"/>
    <w:rsid w:val="0036392E"/>
    <w:rsid w:val="00366646"/>
    <w:rsid w:val="00370F45"/>
    <w:rsid w:val="00387B57"/>
    <w:rsid w:val="003913A9"/>
    <w:rsid w:val="003B2323"/>
    <w:rsid w:val="003C257C"/>
    <w:rsid w:val="003D3183"/>
    <w:rsid w:val="003D6B46"/>
    <w:rsid w:val="00400362"/>
    <w:rsid w:val="00417C9D"/>
    <w:rsid w:val="00454AA7"/>
    <w:rsid w:val="004653A0"/>
    <w:rsid w:val="004666A5"/>
    <w:rsid w:val="00473629"/>
    <w:rsid w:val="00487580"/>
    <w:rsid w:val="004A115A"/>
    <w:rsid w:val="004D048A"/>
    <w:rsid w:val="004D1D0A"/>
    <w:rsid w:val="004E685F"/>
    <w:rsid w:val="004E7844"/>
    <w:rsid w:val="004F0C19"/>
    <w:rsid w:val="004F2CAD"/>
    <w:rsid w:val="00503215"/>
    <w:rsid w:val="00507806"/>
    <w:rsid w:val="00516EC0"/>
    <w:rsid w:val="00522FF2"/>
    <w:rsid w:val="00530A4A"/>
    <w:rsid w:val="0055172E"/>
    <w:rsid w:val="005B4159"/>
    <w:rsid w:val="005C415B"/>
    <w:rsid w:val="005E0E3B"/>
    <w:rsid w:val="005F74B8"/>
    <w:rsid w:val="00600343"/>
    <w:rsid w:val="006132D5"/>
    <w:rsid w:val="006140DC"/>
    <w:rsid w:val="0062109B"/>
    <w:rsid w:val="00621AC6"/>
    <w:rsid w:val="00622F59"/>
    <w:rsid w:val="00630C91"/>
    <w:rsid w:val="00663750"/>
    <w:rsid w:val="00667368"/>
    <w:rsid w:val="00683FDE"/>
    <w:rsid w:val="00685959"/>
    <w:rsid w:val="006A4330"/>
    <w:rsid w:val="006B2565"/>
    <w:rsid w:val="006D5CC3"/>
    <w:rsid w:val="006E1617"/>
    <w:rsid w:val="00705F46"/>
    <w:rsid w:val="00710E28"/>
    <w:rsid w:val="0071593C"/>
    <w:rsid w:val="00756932"/>
    <w:rsid w:val="007930B9"/>
    <w:rsid w:val="00795039"/>
    <w:rsid w:val="007C3FE5"/>
    <w:rsid w:val="007D1AD9"/>
    <w:rsid w:val="007E1CE4"/>
    <w:rsid w:val="007E6B2B"/>
    <w:rsid w:val="008039AB"/>
    <w:rsid w:val="00824F8A"/>
    <w:rsid w:val="00864497"/>
    <w:rsid w:val="008A229B"/>
    <w:rsid w:val="008A4CA5"/>
    <w:rsid w:val="008B1326"/>
    <w:rsid w:val="008B5B68"/>
    <w:rsid w:val="008C0A02"/>
    <w:rsid w:val="008C5C05"/>
    <w:rsid w:val="008C75E1"/>
    <w:rsid w:val="008D2920"/>
    <w:rsid w:val="008E13EC"/>
    <w:rsid w:val="008E416F"/>
    <w:rsid w:val="008F2082"/>
    <w:rsid w:val="00950823"/>
    <w:rsid w:val="009530C7"/>
    <w:rsid w:val="00957E7C"/>
    <w:rsid w:val="00963456"/>
    <w:rsid w:val="00970F20"/>
    <w:rsid w:val="0097716F"/>
    <w:rsid w:val="00993418"/>
    <w:rsid w:val="009B2114"/>
    <w:rsid w:val="009C21D3"/>
    <w:rsid w:val="009D6102"/>
    <w:rsid w:val="00A24BCE"/>
    <w:rsid w:val="00A43E6F"/>
    <w:rsid w:val="00A479AF"/>
    <w:rsid w:val="00A50091"/>
    <w:rsid w:val="00A506EE"/>
    <w:rsid w:val="00A5297E"/>
    <w:rsid w:val="00A761A1"/>
    <w:rsid w:val="00A87075"/>
    <w:rsid w:val="00AB1141"/>
    <w:rsid w:val="00AC072B"/>
    <w:rsid w:val="00AC37DF"/>
    <w:rsid w:val="00AD6362"/>
    <w:rsid w:val="00B23D4C"/>
    <w:rsid w:val="00B46742"/>
    <w:rsid w:val="00B51884"/>
    <w:rsid w:val="00B6598E"/>
    <w:rsid w:val="00B75D01"/>
    <w:rsid w:val="00B87CF6"/>
    <w:rsid w:val="00BA4C08"/>
    <w:rsid w:val="00BB15CC"/>
    <w:rsid w:val="00BB3EBC"/>
    <w:rsid w:val="00BC7E3F"/>
    <w:rsid w:val="00C077D6"/>
    <w:rsid w:val="00C12B6A"/>
    <w:rsid w:val="00C37B60"/>
    <w:rsid w:val="00C4796C"/>
    <w:rsid w:val="00C65504"/>
    <w:rsid w:val="00C74903"/>
    <w:rsid w:val="00C752F9"/>
    <w:rsid w:val="00C90483"/>
    <w:rsid w:val="00C93C64"/>
    <w:rsid w:val="00CC4136"/>
    <w:rsid w:val="00CD38F8"/>
    <w:rsid w:val="00CD79CD"/>
    <w:rsid w:val="00CE1932"/>
    <w:rsid w:val="00CE65F9"/>
    <w:rsid w:val="00CE6E69"/>
    <w:rsid w:val="00CF6B7E"/>
    <w:rsid w:val="00D0517C"/>
    <w:rsid w:val="00D1771E"/>
    <w:rsid w:val="00D209B3"/>
    <w:rsid w:val="00D804B5"/>
    <w:rsid w:val="00D9224B"/>
    <w:rsid w:val="00DA1F20"/>
    <w:rsid w:val="00DA65EB"/>
    <w:rsid w:val="00DA684C"/>
    <w:rsid w:val="00DC6E95"/>
    <w:rsid w:val="00DF32F8"/>
    <w:rsid w:val="00DF76E3"/>
    <w:rsid w:val="00DF7A11"/>
    <w:rsid w:val="00E24FC7"/>
    <w:rsid w:val="00E513D7"/>
    <w:rsid w:val="00E53B6B"/>
    <w:rsid w:val="00E5567D"/>
    <w:rsid w:val="00E660BF"/>
    <w:rsid w:val="00E739EA"/>
    <w:rsid w:val="00E92B54"/>
    <w:rsid w:val="00E95C0A"/>
    <w:rsid w:val="00EA0145"/>
    <w:rsid w:val="00EB097B"/>
    <w:rsid w:val="00ED4965"/>
    <w:rsid w:val="00EE0FD5"/>
    <w:rsid w:val="00EE18B9"/>
    <w:rsid w:val="00EE534A"/>
    <w:rsid w:val="00EF1EC9"/>
    <w:rsid w:val="00F20E29"/>
    <w:rsid w:val="00F34B5B"/>
    <w:rsid w:val="00F434BC"/>
    <w:rsid w:val="00F46233"/>
    <w:rsid w:val="00F57328"/>
    <w:rsid w:val="00F57B5C"/>
    <w:rsid w:val="00F81631"/>
    <w:rsid w:val="00FD79E9"/>
    <w:rsid w:val="00FE3ECD"/>
    <w:rsid w:val="1079482A"/>
    <w:rsid w:val="1BC76830"/>
    <w:rsid w:val="20D506EC"/>
    <w:rsid w:val="284F3BE6"/>
    <w:rsid w:val="2CAA255D"/>
    <w:rsid w:val="30D675AD"/>
    <w:rsid w:val="49403DC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annotation text"/>
    <w:basedOn w:val="1"/>
    <w:unhideWhenUsed/>
    <w:uiPriority w:val="0"/>
    <w:pPr>
      <w:jc w:val="left"/>
    </w:pPr>
  </w:style>
  <w:style w:type="paragraph" w:styleId="3">
    <w:name w:val="Balloon Text"/>
    <w:basedOn w:val="1"/>
    <w:link w:val="14"/>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3"/>
    <w:qFormat/>
    <w:uiPriority w:val="0"/>
    <w:pPr>
      <w:spacing w:before="240" w:after="60" w:line="312" w:lineRule="auto"/>
      <w:jc w:val="center"/>
      <w:outlineLvl w:val="1"/>
    </w:pPr>
    <w:rPr>
      <w:rFonts w:ascii="Cambria" w:hAnsi="Cambria" w:cs="Times New Roman"/>
      <w:b/>
      <w:bCs/>
      <w:kern w:val="28"/>
      <w:sz w:val="32"/>
      <w:szCs w:val="32"/>
    </w:rPr>
  </w:style>
  <w:style w:type="character" w:styleId="8">
    <w:name w:val="annotation reference"/>
    <w:basedOn w:val="7"/>
    <w:unhideWhenUsed/>
    <w:uiPriority w:val="0"/>
    <w:rPr>
      <w:sz w:val="21"/>
      <w:szCs w:val="21"/>
    </w:rPr>
  </w:style>
  <w:style w:type="paragraph" w:customStyle="1" w:styleId="10">
    <w:name w:val="列出段落1"/>
    <w:basedOn w:val="1"/>
    <w:qFormat/>
    <w:uiPriority w:val="34"/>
    <w:pPr>
      <w:ind w:firstLine="420" w:firstLineChars="200"/>
    </w:pPr>
  </w:style>
  <w:style w:type="character" w:customStyle="1" w:styleId="11">
    <w:name w:val="页眉 Char"/>
    <w:basedOn w:val="7"/>
    <w:link w:val="5"/>
    <w:uiPriority w:val="99"/>
    <w:rPr>
      <w:sz w:val="18"/>
      <w:szCs w:val="18"/>
    </w:rPr>
  </w:style>
  <w:style w:type="character" w:customStyle="1" w:styleId="12">
    <w:name w:val="页脚 Char"/>
    <w:basedOn w:val="7"/>
    <w:link w:val="4"/>
    <w:uiPriority w:val="99"/>
    <w:rPr>
      <w:sz w:val="18"/>
      <w:szCs w:val="18"/>
    </w:rPr>
  </w:style>
  <w:style w:type="character" w:customStyle="1" w:styleId="13">
    <w:name w:val="副标题 Char"/>
    <w:basedOn w:val="7"/>
    <w:link w:val="6"/>
    <w:uiPriority w:val="0"/>
    <w:rPr>
      <w:rFonts w:ascii="Cambria" w:hAnsi="Cambria" w:eastAsia="宋体" w:cs="Times New Roman"/>
      <w:b/>
      <w:bCs/>
      <w:kern w:val="28"/>
      <w:sz w:val="32"/>
      <w:szCs w:val="32"/>
    </w:rPr>
  </w:style>
  <w:style w:type="character" w:customStyle="1" w:styleId="14">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1528</Words>
  <Characters>8713</Characters>
  <Lines>72</Lines>
  <Paragraphs>20</Paragraphs>
  <TotalTime>0</TotalTime>
  <ScaleCrop>false</ScaleCrop>
  <LinksUpToDate>false</LinksUpToDate>
  <CharactersWithSpaces>0</CharactersWithSpaces>
  <Application>WPS Office 个人版_9.1.0.4954_{F1E327BC-269C-435d-A152-05C5408002CA}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2015-03-23T11:48:00Z</dcterms:created>
  <dc:creator>徐雪鹏</dc:creator>
  <cp:lastModifiedBy>Administrator</cp:lastModifiedBy>
  <dcterms:modified xsi:type="dcterms:W3CDTF">2015-03-24T12:27:22Z</dcterms:modified>
  <dc:title>2015年全国职业院校技能大赛</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